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B5AF5" w14:textId="34F70737" w:rsidR="00E320B9" w:rsidRDefault="001E6BF3" w:rsidP="00E320B9">
      <w:pPr>
        <w:pStyle w:val="Heading1"/>
      </w:pPr>
      <w:r>
        <w:t xml:space="preserve">Characterising </w:t>
      </w:r>
      <w:r w:rsidR="00E320B9">
        <w:t>Seascape: Visual and Spatial Methods</w:t>
      </w:r>
      <w:r>
        <w:t xml:space="preserve"> for sustainability assessment in the oceans</w:t>
      </w:r>
    </w:p>
    <w:p w14:paraId="1C24FE78" w14:textId="73350D95" w:rsidR="00DF44C0" w:rsidRDefault="62F70491" w:rsidP="62F70491">
      <w:pPr>
        <w:rPr>
          <w:rFonts w:eastAsiaTheme="minorEastAsia"/>
          <w:sz w:val="21"/>
          <w:szCs w:val="21"/>
        </w:rPr>
      </w:pPr>
      <w:r w:rsidRPr="62F70491">
        <w:rPr>
          <w:rFonts w:eastAsiaTheme="minorEastAsia"/>
          <w:sz w:val="21"/>
          <w:szCs w:val="21"/>
        </w:rPr>
        <w:t xml:space="preserve">PhD </w:t>
      </w:r>
      <w:r w:rsidR="002E3EDC">
        <w:rPr>
          <w:rFonts w:eastAsiaTheme="minorEastAsia"/>
          <w:sz w:val="21"/>
          <w:szCs w:val="21"/>
        </w:rPr>
        <w:t>Sustainable Development</w:t>
      </w:r>
      <w:r w:rsidRPr="62F70491">
        <w:rPr>
          <w:rFonts w:eastAsiaTheme="minorEastAsia"/>
          <w:sz w:val="21"/>
          <w:szCs w:val="21"/>
        </w:rPr>
        <w:t xml:space="preserve"> (Science)</w:t>
      </w:r>
    </w:p>
    <w:p w14:paraId="7CCD4BC2" w14:textId="6C312EE3" w:rsidR="00E320B9" w:rsidRDefault="62F70491" w:rsidP="62F70491">
      <w:pPr>
        <w:rPr>
          <w:rFonts w:eastAsiaTheme="minorEastAsia"/>
          <w:sz w:val="21"/>
          <w:szCs w:val="21"/>
        </w:rPr>
      </w:pPr>
      <w:r w:rsidRPr="62F70491">
        <w:rPr>
          <w:rFonts w:eastAsiaTheme="minorEastAsia"/>
          <w:sz w:val="21"/>
          <w:szCs w:val="21"/>
        </w:rPr>
        <w:t xml:space="preserve">School of Geography and Sustainable Development PhD </w:t>
      </w:r>
      <w:r w:rsidR="00114F44">
        <w:rPr>
          <w:rFonts w:eastAsiaTheme="minorEastAsia"/>
          <w:sz w:val="21"/>
          <w:szCs w:val="21"/>
        </w:rPr>
        <w:t>studentship (entry 26-27)</w:t>
      </w:r>
    </w:p>
    <w:p w14:paraId="43855D69" w14:textId="5860743F" w:rsidR="001E6BF3" w:rsidRDefault="62F70491" w:rsidP="62F70491">
      <w:pPr>
        <w:rPr>
          <w:rFonts w:eastAsiaTheme="minorEastAsia"/>
          <w:sz w:val="21"/>
          <w:szCs w:val="21"/>
        </w:rPr>
      </w:pPr>
      <w:r w:rsidRPr="62F70491">
        <w:rPr>
          <w:rFonts w:eastAsiaTheme="minorEastAsia"/>
          <w:sz w:val="21"/>
          <w:szCs w:val="21"/>
        </w:rPr>
        <w:t>Supervisors Dr T A Stojanovic (Environmental Geography) and Dr C van der Lijn (GI Science)</w:t>
      </w:r>
    </w:p>
    <w:p w14:paraId="0B49EEA7" w14:textId="0B7F54E0" w:rsidR="007E6B20" w:rsidRPr="001E6BF3" w:rsidRDefault="62F70491" w:rsidP="62F70491">
      <w:pPr>
        <w:autoSpaceDE w:val="0"/>
        <w:autoSpaceDN w:val="0"/>
        <w:adjustRightInd w:val="0"/>
        <w:spacing w:after="0" w:line="240" w:lineRule="auto"/>
        <w:rPr>
          <w:rFonts w:eastAsiaTheme="minorEastAsia"/>
          <w:b/>
          <w:bCs/>
          <w:sz w:val="21"/>
          <w:szCs w:val="21"/>
        </w:rPr>
      </w:pPr>
      <w:r w:rsidRPr="62F70491">
        <w:rPr>
          <w:rFonts w:eastAsiaTheme="minorEastAsia"/>
          <w:b/>
          <w:bCs/>
          <w:sz w:val="21"/>
          <w:szCs w:val="21"/>
        </w:rPr>
        <w:t>Outline of the proposed research area</w:t>
      </w:r>
    </w:p>
    <w:p w14:paraId="63483E76" w14:textId="10D13CBD" w:rsidR="62F70491" w:rsidRDefault="62F70491" w:rsidP="62F70491">
      <w:pPr>
        <w:rPr>
          <w:rFonts w:eastAsiaTheme="minorEastAsia"/>
          <w:sz w:val="21"/>
          <w:szCs w:val="21"/>
        </w:rPr>
      </w:pPr>
      <w:r w:rsidRPr="1A083BA6">
        <w:rPr>
          <w:rFonts w:eastAsiaTheme="minorEastAsia"/>
          <w:sz w:val="21"/>
          <w:szCs w:val="21"/>
        </w:rPr>
        <w:t>Many nation states are expanding development in ocean</w:t>
      </w:r>
      <w:r w:rsidR="4C52E6C8" w:rsidRPr="1A083BA6">
        <w:rPr>
          <w:rFonts w:eastAsiaTheme="minorEastAsia"/>
          <w:sz w:val="21"/>
          <w:szCs w:val="21"/>
        </w:rPr>
        <w:t>s</w:t>
      </w:r>
      <w:r w:rsidRPr="1A083BA6">
        <w:rPr>
          <w:rFonts w:eastAsiaTheme="minorEastAsia"/>
          <w:sz w:val="21"/>
          <w:szCs w:val="21"/>
        </w:rPr>
        <w:t xml:space="preserve"> and coasts. Such development is often justified under the rhetoric of ‘blue growth’ but gives rise to impacts on the environment, ecology and heritage. Understanding whether these developments are justified or produce net benefits for coastal communities involves an assessment of their sustainability. One of the most politically contentious issues concerns visual impact from the increasing industrialisation and footprint of human activity in the seas, such that their ‘wild’ and undeveloped character is lost.  Seascape character, derived from the interaction between sea and land, provides an important metric of change to make this assessment.</w:t>
      </w:r>
    </w:p>
    <w:p w14:paraId="53306350" w14:textId="68799A11" w:rsidR="001E6BF3" w:rsidRDefault="62F70491" w:rsidP="62F70491">
      <w:pPr>
        <w:rPr>
          <w:rFonts w:eastAsiaTheme="minorEastAsia"/>
          <w:sz w:val="21"/>
          <w:szCs w:val="21"/>
        </w:rPr>
      </w:pPr>
      <w:r w:rsidRPr="62F70491">
        <w:rPr>
          <w:rFonts w:eastAsiaTheme="minorEastAsia"/>
          <w:sz w:val="21"/>
          <w:szCs w:val="21"/>
        </w:rPr>
        <w:t xml:space="preserve">Project level methodologies have been developed to assess the visual impacts of individual developments (Lovett </w:t>
      </w:r>
      <w:r w:rsidRPr="62F70491">
        <w:rPr>
          <w:rFonts w:eastAsiaTheme="minorEastAsia"/>
          <w:i/>
          <w:iCs/>
          <w:sz w:val="21"/>
          <w:szCs w:val="21"/>
        </w:rPr>
        <w:t xml:space="preserve">et al. </w:t>
      </w:r>
      <w:r w:rsidRPr="62F70491">
        <w:rPr>
          <w:rFonts w:eastAsiaTheme="minorEastAsia"/>
          <w:sz w:val="21"/>
          <w:szCs w:val="21"/>
        </w:rPr>
        <w:t xml:space="preserve">2016), Seascape character methodologies have been developed to consider the sensitivity of marine areas (MMO, 2019; O’Higgins </w:t>
      </w:r>
      <w:r w:rsidRPr="62F70491">
        <w:rPr>
          <w:rFonts w:eastAsiaTheme="minorEastAsia"/>
          <w:i/>
          <w:iCs/>
          <w:sz w:val="21"/>
          <w:szCs w:val="21"/>
        </w:rPr>
        <w:t>et al.</w:t>
      </w:r>
      <w:r w:rsidRPr="62F70491">
        <w:rPr>
          <w:rFonts w:eastAsiaTheme="minorEastAsia"/>
          <w:sz w:val="21"/>
          <w:szCs w:val="21"/>
        </w:rPr>
        <w:t xml:space="preserve"> 2018). However, questions remain about the validity of these approaches, and they are often uncritically taken up in professional practice. Further they do not consider cumulative impacts of these developments across regional sea areas. The visualisation of underwater seascapes through seabed or water column developments also remains under-developed (Portmann </w:t>
      </w:r>
      <w:r w:rsidRPr="62F70491">
        <w:rPr>
          <w:rFonts w:eastAsiaTheme="minorEastAsia"/>
          <w:i/>
          <w:iCs/>
          <w:sz w:val="21"/>
          <w:szCs w:val="21"/>
        </w:rPr>
        <w:t xml:space="preserve">et al. </w:t>
      </w:r>
      <w:r w:rsidRPr="62F70491">
        <w:rPr>
          <w:rFonts w:eastAsiaTheme="minorEastAsia"/>
          <w:sz w:val="21"/>
          <w:szCs w:val="21"/>
        </w:rPr>
        <w:t>2015). Given drivers to decarbonise the economy, offshore windfarm development will continue to expand dramatically and there is thus an urgent need to improve the forms of sustainability assessment deployed.</w:t>
      </w:r>
    </w:p>
    <w:p w14:paraId="7DC25A53" w14:textId="0F412540" w:rsidR="004A0313" w:rsidRDefault="62F70491" w:rsidP="62F70491">
      <w:pPr>
        <w:rPr>
          <w:rFonts w:eastAsiaTheme="minorEastAsia"/>
          <w:sz w:val="21"/>
          <w:szCs w:val="21"/>
        </w:rPr>
      </w:pPr>
      <w:r w:rsidRPr="62F70491">
        <w:rPr>
          <w:rFonts w:eastAsiaTheme="minorEastAsia"/>
          <w:sz w:val="21"/>
          <w:szCs w:val="21"/>
        </w:rPr>
        <w:t xml:space="preserve">Undertaking such assessments comes with a range of computational challenges: some parts of the ocean are data poor entailing the use of proxy data with questionable assumptions. Some marine data sets are very large often consisting of millions of data points, making processing and analysis of such data challenging from a computational perspective. Data collection based on the Earth’s surface is sufficiently advanced enough when viewing satellite data, but current spatial analysis algorithms to interpret this data are not yet at the same level (Openshaw and Chamberlain, 2022). This research project will improve and develop well justified, tested and evaluated approaches to overcome these gaps, drawing on community interaction (Newell </w:t>
      </w:r>
      <w:r w:rsidRPr="62F70491">
        <w:rPr>
          <w:rFonts w:eastAsiaTheme="minorEastAsia"/>
          <w:i/>
          <w:iCs/>
          <w:sz w:val="21"/>
          <w:szCs w:val="21"/>
        </w:rPr>
        <w:t>et al.</w:t>
      </w:r>
      <w:r w:rsidRPr="62F70491">
        <w:rPr>
          <w:rFonts w:eastAsiaTheme="minorEastAsia"/>
          <w:sz w:val="21"/>
          <w:szCs w:val="21"/>
        </w:rPr>
        <w:t xml:space="preserve"> 2017) and secondary spatial analysis. The output will be to create a seascape characterisation that can be used for future planning of the ocean.</w:t>
      </w:r>
    </w:p>
    <w:p w14:paraId="2A3AEDFA" w14:textId="0843CB4B" w:rsidR="004A0313" w:rsidRDefault="62F70491" w:rsidP="62F70491">
      <w:pPr>
        <w:rPr>
          <w:rFonts w:eastAsiaTheme="minorEastAsia"/>
          <w:sz w:val="21"/>
          <w:szCs w:val="21"/>
        </w:rPr>
      </w:pPr>
      <w:r w:rsidRPr="62F70491">
        <w:rPr>
          <w:rFonts w:eastAsiaTheme="minorEastAsia"/>
          <w:sz w:val="21"/>
          <w:szCs w:val="21"/>
        </w:rPr>
        <w:t>The research will be interdisciplinary, requiring an understanding of how to spatially represent fundamental ecological and physical processes in GIS, as well as an understanding of the different socio-economic uses of the marine environment and how sustainability assessment is conducted in professional practice.</w:t>
      </w:r>
    </w:p>
    <w:p w14:paraId="1A8ADF67" w14:textId="77777777" w:rsidR="007E6B20" w:rsidRPr="001E6BF3" w:rsidRDefault="62F70491" w:rsidP="62F70491">
      <w:pPr>
        <w:spacing w:after="0"/>
        <w:rPr>
          <w:rFonts w:eastAsiaTheme="minorEastAsia"/>
          <w:b/>
          <w:bCs/>
          <w:sz w:val="21"/>
          <w:szCs w:val="21"/>
        </w:rPr>
      </w:pPr>
      <w:r w:rsidRPr="62F70491">
        <w:rPr>
          <w:rFonts w:eastAsiaTheme="minorEastAsia"/>
          <w:b/>
          <w:bCs/>
          <w:sz w:val="21"/>
          <w:szCs w:val="21"/>
        </w:rPr>
        <w:t xml:space="preserve">Objectives </w:t>
      </w:r>
    </w:p>
    <w:p w14:paraId="0462879E" w14:textId="2CC613EF" w:rsidR="001E6BF3" w:rsidRPr="00B54239" w:rsidRDefault="62F70491" w:rsidP="62F70491">
      <w:pPr>
        <w:pStyle w:val="ListParagraph"/>
        <w:numPr>
          <w:ilvl w:val="0"/>
          <w:numId w:val="4"/>
        </w:numPr>
        <w:rPr>
          <w:rFonts w:eastAsiaTheme="minorEastAsia"/>
          <w:sz w:val="21"/>
          <w:szCs w:val="21"/>
        </w:rPr>
      </w:pPr>
      <w:r w:rsidRPr="1A083BA6">
        <w:rPr>
          <w:rFonts w:eastAsiaTheme="minorEastAsia"/>
          <w:sz w:val="21"/>
          <w:szCs w:val="21"/>
        </w:rPr>
        <w:t>Critically review approaches taken for visual impact assessment in the marine environment and efficiency of the algorithms used for viewshed analysis</w:t>
      </w:r>
      <w:r w:rsidR="28A72C77" w:rsidRPr="1A083BA6">
        <w:rPr>
          <w:rFonts w:eastAsiaTheme="minorEastAsia"/>
          <w:sz w:val="21"/>
          <w:szCs w:val="21"/>
        </w:rPr>
        <w:t>.</w:t>
      </w:r>
    </w:p>
    <w:p w14:paraId="62FF16C8" w14:textId="69B21ED4" w:rsidR="007E6B20" w:rsidRPr="00B54239" w:rsidRDefault="62F70491" w:rsidP="62F70491">
      <w:pPr>
        <w:pStyle w:val="ListParagraph"/>
        <w:numPr>
          <w:ilvl w:val="0"/>
          <w:numId w:val="4"/>
        </w:numPr>
        <w:rPr>
          <w:rFonts w:eastAsiaTheme="minorEastAsia"/>
          <w:sz w:val="21"/>
          <w:szCs w:val="21"/>
        </w:rPr>
      </w:pPr>
      <w:r w:rsidRPr="62F70491">
        <w:rPr>
          <w:rFonts w:eastAsiaTheme="minorEastAsia"/>
          <w:sz w:val="21"/>
          <w:szCs w:val="21"/>
        </w:rPr>
        <w:t>Determine the key factors which should be considered for spatial analysis of visual impact and explore computationally efficient and effective methods for improving GI science methodologies for seascape characterisation.</w:t>
      </w:r>
    </w:p>
    <w:p w14:paraId="11D052AB" w14:textId="774C417A" w:rsidR="001E6BF3" w:rsidRPr="00B54239" w:rsidRDefault="62F70491" w:rsidP="62F70491">
      <w:pPr>
        <w:pStyle w:val="ListParagraph"/>
        <w:numPr>
          <w:ilvl w:val="0"/>
          <w:numId w:val="4"/>
        </w:numPr>
        <w:rPr>
          <w:rFonts w:eastAsiaTheme="minorEastAsia"/>
          <w:sz w:val="21"/>
          <w:szCs w:val="21"/>
        </w:rPr>
      </w:pPr>
      <w:r w:rsidRPr="62F70491">
        <w:rPr>
          <w:rFonts w:eastAsiaTheme="minorEastAsia"/>
          <w:sz w:val="21"/>
          <w:szCs w:val="21"/>
        </w:rPr>
        <w:t xml:space="preserve">Collate data to enable spatial analysis of visual impacts of major developments over large sea areas corresponding to a nation state jurisdiction. Calibrate the model outputs across a range of </w:t>
      </w:r>
      <w:r w:rsidR="0061074B">
        <w:rPr>
          <w:rFonts w:eastAsiaTheme="minorEastAsia"/>
          <w:sz w:val="21"/>
          <w:szCs w:val="21"/>
        </w:rPr>
        <w:t>stakeholders</w:t>
      </w:r>
      <w:r w:rsidRPr="62F70491">
        <w:rPr>
          <w:rFonts w:eastAsiaTheme="minorEastAsia"/>
          <w:sz w:val="21"/>
          <w:szCs w:val="21"/>
        </w:rPr>
        <w:t>. Validate this method by application in a second marine setting.</w:t>
      </w:r>
    </w:p>
    <w:p w14:paraId="3809A586" w14:textId="1A55592B" w:rsidR="001E6BF3" w:rsidRPr="00B54239" w:rsidRDefault="00161DCB" w:rsidP="62F70491">
      <w:pPr>
        <w:pStyle w:val="ListParagraph"/>
        <w:numPr>
          <w:ilvl w:val="0"/>
          <w:numId w:val="4"/>
        </w:numPr>
        <w:rPr>
          <w:rFonts w:eastAsiaTheme="minorEastAsia"/>
          <w:sz w:val="21"/>
          <w:szCs w:val="21"/>
        </w:rPr>
      </w:pPr>
      <w:r>
        <w:rPr>
          <w:rFonts w:eastAsiaTheme="minorEastAsia"/>
          <w:sz w:val="21"/>
          <w:szCs w:val="21"/>
        </w:rPr>
        <w:t>Evaluate</w:t>
      </w:r>
      <w:r w:rsidR="62F70491" w:rsidRPr="62F70491">
        <w:rPr>
          <w:rFonts w:eastAsiaTheme="minorEastAsia"/>
          <w:sz w:val="21"/>
          <w:szCs w:val="21"/>
        </w:rPr>
        <w:t xml:space="preserve"> the implications of the novel technique developed for impact assessment and seascape characterisation</w:t>
      </w:r>
      <w:r w:rsidR="00BE0D66">
        <w:rPr>
          <w:rFonts w:eastAsiaTheme="minorEastAsia"/>
          <w:sz w:val="21"/>
          <w:szCs w:val="21"/>
        </w:rPr>
        <w:t>.</w:t>
      </w:r>
    </w:p>
    <w:p w14:paraId="4C0B74F2" w14:textId="4911A061" w:rsidR="007E6B20" w:rsidRPr="001E6BF3" w:rsidRDefault="62F70491" w:rsidP="62F70491">
      <w:pPr>
        <w:spacing w:after="0"/>
        <w:rPr>
          <w:rFonts w:eastAsiaTheme="minorEastAsia"/>
          <w:b/>
          <w:bCs/>
          <w:sz w:val="21"/>
          <w:szCs w:val="21"/>
        </w:rPr>
      </w:pPr>
      <w:r w:rsidRPr="62F70491">
        <w:rPr>
          <w:rFonts w:eastAsiaTheme="minorEastAsia"/>
          <w:b/>
          <w:bCs/>
          <w:sz w:val="21"/>
          <w:szCs w:val="21"/>
        </w:rPr>
        <w:t>Methodologies</w:t>
      </w:r>
    </w:p>
    <w:p w14:paraId="49C6A2AD" w14:textId="5845A1E0" w:rsidR="00055D9F" w:rsidRDefault="62F70491" w:rsidP="00055D9F">
      <w:pPr>
        <w:rPr>
          <w:rFonts w:eastAsiaTheme="minorEastAsia"/>
          <w:sz w:val="21"/>
          <w:szCs w:val="21"/>
        </w:rPr>
      </w:pPr>
      <w:r w:rsidRPr="62F70491">
        <w:rPr>
          <w:rFonts w:eastAsiaTheme="minorEastAsia"/>
          <w:sz w:val="21"/>
          <w:szCs w:val="21"/>
        </w:rPr>
        <w:t xml:space="preserve">The research will involve a combination of GI Science and </w:t>
      </w:r>
      <w:r w:rsidR="00FA0747">
        <w:rPr>
          <w:rFonts w:eastAsiaTheme="minorEastAsia"/>
          <w:sz w:val="21"/>
          <w:szCs w:val="21"/>
        </w:rPr>
        <w:t xml:space="preserve">marine </w:t>
      </w:r>
      <w:r w:rsidRPr="62F70491">
        <w:rPr>
          <w:rFonts w:eastAsiaTheme="minorEastAsia"/>
          <w:sz w:val="21"/>
          <w:szCs w:val="21"/>
        </w:rPr>
        <w:t>social scienc</w:t>
      </w:r>
      <w:r w:rsidR="00FA0747">
        <w:rPr>
          <w:rFonts w:eastAsiaTheme="minorEastAsia"/>
          <w:sz w:val="21"/>
          <w:szCs w:val="21"/>
        </w:rPr>
        <w:t>e</w:t>
      </w:r>
      <w:r w:rsidRPr="62F70491">
        <w:rPr>
          <w:rFonts w:eastAsiaTheme="minorEastAsia"/>
          <w:sz w:val="21"/>
          <w:szCs w:val="21"/>
        </w:rPr>
        <w:t xml:space="preserve">, merging both secondary and primary data using open-source software. </w:t>
      </w:r>
      <w:r w:rsidR="00FA0747">
        <w:rPr>
          <w:rFonts w:eastAsiaTheme="minorEastAsia"/>
          <w:sz w:val="21"/>
          <w:szCs w:val="21"/>
        </w:rPr>
        <w:t>S</w:t>
      </w:r>
      <w:r w:rsidRPr="62F70491">
        <w:rPr>
          <w:rFonts w:eastAsiaTheme="minorEastAsia"/>
          <w:sz w:val="21"/>
          <w:szCs w:val="21"/>
        </w:rPr>
        <w:t xml:space="preserve">everal secondary data sets </w:t>
      </w:r>
      <w:r w:rsidR="00FA0747">
        <w:rPr>
          <w:rFonts w:eastAsiaTheme="minorEastAsia"/>
          <w:sz w:val="21"/>
          <w:szCs w:val="21"/>
        </w:rPr>
        <w:t xml:space="preserve">will be combined and interpreted </w:t>
      </w:r>
      <w:r w:rsidRPr="62F70491">
        <w:rPr>
          <w:rFonts w:eastAsiaTheme="minorEastAsia"/>
          <w:sz w:val="21"/>
          <w:szCs w:val="21"/>
        </w:rPr>
        <w:t xml:space="preserve">to create a seascape character output. </w:t>
      </w:r>
      <w:r w:rsidR="00B7686F">
        <w:rPr>
          <w:rFonts w:eastAsiaTheme="minorEastAsia"/>
          <w:sz w:val="21"/>
          <w:szCs w:val="21"/>
        </w:rPr>
        <w:t>P</w:t>
      </w:r>
      <w:r w:rsidRPr="62F70491">
        <w:rPr>
          <w:rFonts w:eastAsiaTheme="minorEastAsia"/>
          <w:sz w:val="21"/>
          <w:szCs w:val="21"/>
        </w:rPr>
        <w:t xml:space="preserve">rimary data collection which will confirm or reassess the outputs. The secondary data analysis will be conducted using QGIS for a visibility analysis to develop a reliable and realistic viewshed model. Primary data will be collected from by the researcher </w:t>
      </w:r>
      <w:r w:rsidR="00E47BF7">
        <w:rPr>
          <w:rFonts w:eastAsiaTheme="minorEastAsia"/>
          <w:sz w:val="21"/>
          <w:szCs w:val="21"/>
        </w:rPr>
        <w:t xml:space="preserve">hosting workshops </w:t>
      </w:r>
      <w:r w:rsidR="00BF1BD3">
        <w:rPr>
          <w:rFonts w:eastAsiaTheme="minorEastAsia"/>
          <w:sz w:val="21"/>
          <w:szCs w:val="21"/>
        </w:rPr>
        <w:t>with</w:t>
      </w:r>
      <w:r w:rsidR="00E47BF7">
        <w:rPr>
          <w:rFonts w:eastAsiaTheme="minorEastAsia"/>
          <w:sz w:val="21"/>
          <w:szCs w:val="21"/>
        </w:rPr>
        <w:t xml:space="preserve"> </w:t>
      </w:r>
      <w:r w:rsidRPr="62F70491">
        <w:rPr>
          <w:rFonts w:eastAsiaTheme="minorEastAsia"/>
          <w:sz w:val="21"/>
          <w:szCs w:val="21"/>
        </w:rPr>
        <w:t xml:space="preserve">members of the </w:t>
      </w:r>
      <w:r w:rsidR="00D22024">
        <w:rPr>
          <w:rFonts w:eastAsiaTheme="minorEastAsia"/>
          <w:sz w:val="21"/>
          <w:szCs w:val="21"/>
        </w:rPr>
        <w:t xml:space="preserve">marine </w:t>
      </w:r>
      <w:r w:rsidRPr="62F70491">
        <w:rPr>
          <w:rFonts w:eastAsiaTheme="minorEastAsia"/>
          <w:sz w:val="21"/>
          <w:szCs w:val="21"/>
        </w:rPr>
        <w:t>community</w:t>
      </w:r>
      <w:r w:rsidR="00BE0D66">
        <w:rPr>
          <w:rFonts w:eastAsiaTheme="minorEastAsia"/>
          <w:sz w:val="21"/>
          <w:szCs w:val="21"/>
        </w:rPr>
        <w:t>,</w:t>
      </w:r>
      <w:r w:rsidR="00BF1BD3">
        <w:rPr>
          <w:rFonts w:eastAsiaTheme="minorEastAsia"/>
          <w:sz w:val="21"/>
          <w:szCs w:val="21"/>
        </w:rPr>
        <w:t xml:space="preserve"> </w:t>
      </w:r>
      <w:r w:rsidRPr="62F70491">
        <w:rPr>
          <w:rFonts w:eastAsiaTheme="minorEastAsia"/>
          <w:sz w:val="21"/>
          <w:szCs w:val="21"/>
        </w:rPr>
        <w:t xml:space="preserve">using the QField application </w:t>
      </w:r>
      <w:r w:rsidR="00BF1BD3">
        <w:rPr>
          <w:rFonts w:eastAsiaTheme="minorEastAsia"/>
          <w:sz w:val="21"/>
          <w:szCs w:val="21"/>
        </w:rPr>
        <w:t xml:space="preserve">which </w:t>
      </w:r>
      <w:r w:rsidR="00055D9F" w:rsidRPr="62F70491">
        <w:rPr>
          <w:rFonts w:eastAsiaTheme="minorEastAsia"/>
          <w:sz w:val="21"/>
          <w:szCs w:val="21"/>
        </w:rPr>
        <w:t xml:space="preserve">adds a spatial dimension that traditional questionnaires are lacking (Ballatore </w:t>
      </w:r>
      <w:r w:rsidR="00055D9F" w:rsidRPr="62F70491">
        <w:rPr>
          <w:rFonts w:eastAsiaTheme="minorEastAsia"/>
          <w:i/>
          <w:iCs/>
          <w:sz w:val="21"/>
          <w:szCs w:val="21"/>
        </w:rPr>
        <w:t>et al.</w:t>
      </w:r>
      <w:r w:rsidR="00055D9F" w:rsidRPr="62F70491">
        <w:rPr>
          <w:rFonts w:eastAsiaTheme="minorEastAsia"/>
          <w:sz w:val="21"/>
          <w:szCs w:val="21"/>
        </w:rPr>
        <w:t xml:space="preserve"> 2018)</w:t>
      </w:r>
      <w:r w:rsidR="00C00D21">
        <w:rPr>
          <w:rFonts w:eastAsiaTheme="minorEastAsia"/>
          <w:sz w:val="21"/>
          <w:szCs w:val="21"/>
        </w:rPr>
        <w:t xml:space="preserve"> </w:t>
      </w:r>
      <w:r w:rsidR="00BE0D66">
        <w:rPr>
          <w:rFonts w:eastAsiaTheme="minorEastAsia"/>
          <w:sz w:val="21"/>
          <w:szCs w:val="21"/>
        </w:rPr>
        <w:t>to</w:t>
      </w:r>
      <w:r w:rsidR="00C00D21">
        <w:rPr>
          <w:rFonts w:eastAsiaTheme="minorEastAsia"/>
          <w:sz w:val="21"/>
          <w:szCs w:val="21"/>
        </w:rPr>
        <w:t xml:space="preserve"> enable </w:t>
      </w:r>
      <w:r w:rsidR="00361B91">
        <w:rPr>
          <w:rFonts w:eastAsiaTheme="minorEastAsia"/>
          <w:sz w:val="21"/>
          <w:szCs w:val="21"/>
        </w:rPr>
        <w:t>professional stakeholder</w:t>
      </w:r>
      <w:r w:rsidR="00BE0D66">
        <w:rPr>
          <w:rFonts w:eastAsiaTheme="minorEastAsia"/>
          <w:sz w:val="21"/>
          <w:szCs w:val="21"/>
        </w:rPr>
        <w:t xml:space="preserve"> validation</w:t>
      </w:r>
      <w:r w:rsidR="00055D9F" w:rsidRPr="62F70491">
        <w:rPr>
          <w:rFonts w:eastAsiaTheme="minorEastAsia"/>
          <w:sz w:val="21"/>
          <w:szCs w:val="21"/>
        </w:rPr>
        <w:t>.</w:t>
      </w:r>
    </w:p>
    <w:p w14:paraId="7A7299CA" w14:textId="77367CE1" w:rsidR="007E6B20" w:rsidRPr="001E6BF3" w:rsidRDefault="62F70491" w:rsidP="62F70491">
      <w:pPr>
        <w:spacing w:after="0"/>
        <w:rPr>
          <w:rFonts w:eastAsiaTheme="minorEastAsia"/>
          <w:b/>
          <w:bCs/>
          <w:sz w:val="21"/>
          <w:szCs w:val="21"/>
        </w:rPr>
      </w:pPr>
      <w:r w:rsidRPr="62F70491">
        <w:rPr>
          <w:rFonts w:eastAsiaTheme="minorEastAsia"/>
          <w:b/>
          <w:bCs/>
          <w:sz w:val="21"/>
          <w:szCs w:val="21"/>
        </w:rPr>
        <w:t>Project Timeline</w:t>
      </w:r>
    </w:p>
    <w:p w14:paraId="0061C96B" w14:textId="2B18B11B" w:rsidR="001E6BF3" w:rsidRDefault="62F70491" w:rsidP="62F70491">
      <w:pPr>
        <w:rPr>
          <w:rFonts w:eastAsiaTheme="minorEastAsia"/>
          <w:sz w:val="21"/>
          <w:szCs w:val="21"/>
        </w:rPr>
      </w:pPr>
      <w:r w:rsidRPr="1A083BA6">
        <w:rPr>
          <w:rFonts w:eastAsiaTheme="minorEastAsia"/>
          <w:sz w:val="21"/>
          <w:szCs w:val="21"/>
        </w:rPr>
        <w:t xml:space="preserve">The project will </w:t>
      </w:r>
      <w:r w:rsidR="00B7686F">
        <w:rPr>
          <w:rFonts w:eastAsiaTheme="minorEastAsia"/>
          <w:sz w:val="21"/>
          <w:szCs w:val="21"/>
        </w:rPr>
        <w:t>provide an opportunity for the</w:t>
      </w:r>
      <w:r w:rsidRPr="1A083BA6">
        <w:rPr>
          <w:rFonts w:eastAsiaTheme="minorEastAsia"/>
          <w:sz w:val="21"/>
          <w:szCs w:val="21"/>
        </w:rPr>
        <w:t xml:space="preserve"> </w:t>
      </w:r>
      <w:r w:rsidR="00DB695E">
        <w:rPr>
          <w:rFonts w:eastAsiaTheme="minorEastAsia"/>
          <w:sz w:val="21"/>
          <w:szCs w:val="21"/>
        </w:rPr>
        <w:t xml:space="preserve">student to contribute to teaching </w:t>
      </w:r>
      <w:r w:rsidR="00E42EAB">
        <w:rPr>
          <w:rFonts w:eastAsiaTheme="minorEastAsia"/>
          <w:sz w:val="21"/>
          <w:szCs w:val="21"/>
        </w:rPr>
        <w:t>in SGSD</w:t>
      </w:r>
      <w:r w:rsidR="00DB695E">
        <w:rPr>
          <w:rFonts w:eastAsiaTheme="minorEastAsia"/>
          <w:sz w:val="21"/>
          <w:szCs w:val="21"/>
        </w:rPr>
        <w:t xml:space="preserve">, including demonstrating and </w:t>
      </w:r>
      <w:r w:rsidR="00B579F9">
        <w:rPr>
          <w:rFonts w:eastAsiaTheme="minorEastAsia"/>
          <w:sz w:val="21"/>
          <w:szCs w:val="21"/>
        </w:rPr>
        <w:t xml:space="preserve">tutoring for GIS and other courses, </w:t>
      </w:r>
      <w:r w:rsidRPr="1A083BA6">
        <w:rPr>
          <w:rFonts w:eastAsiaTheme="minorEastAsia"/>
          <w:sz w:val="21"/>
          <w:szCs w:val="21"/>
        </w:rPr>
        <w:t>providing an opportunity to upskill in a range</w:t>
      </w:r>
      <w:r w:rsidR="6DA873CF" w:rsidRPr="1A083BA6">
        <w:rPr>
          <w:rFonts w:eastAsiaTheme="minorEastAsia"/>
          <w:sz w:val="21"/>
          <w:szCs w:val="21"/>
        </w:rPr>
        <w:t xml:space="preserve"> of</w:t>
      </w:r>
      <w:r w:rsidRPr="1A083BA6">
        <w:rPr>
          <w:rFonts w:eastAsiaTheme="minorEastAsia"/>
          <w:sz w:val="21"/>
          <w:szCs w:val="21"/>
        </w:rPr>
        <w:t xml:space="preserve"> GI science techniques and develop a teaching portfolio.</w:t>
      </w:r>
    </w:p>
    <w:p w14:paraId="7A10F15A" w14:textId="2DCE1C9E" w:rsidR="001E6BF3" w:rsidRDefault="62F70491" w:rsidP="62F70491">
      <w:pPr>
        <w:spacing w:after="0"/>
        <w:rPr>
          <w:rFonts w:eastAsiaTheme="minorEastAsia"/>
          <w:sz w:val="21"/>
          <w:szCs w:val="21"/>
        </w:rPr>
      </w:pPr>
      <w:r w:rsidRPr="62F70491">
        <w:rPr>
          <w:rFonts w:eastAsiaTheme="minorEastAsia"/>
          <w:sz w:val="21"/>
          <w:szCs w:val="21"/>
        </w:rPr>
        <w:t>Year 1</w:t>
      </w:r>
    </w:p>
    <w:p w14:paraId="1816B3E6" w14:textId="3A52E039" w:rsidR="008209BD" w:rsidRDefault="62F70491" w:rsidP="1A083BA6">
      <w:pPr>
        <w:rPr>
          <w:rFonts w:eastAsiaTheme="minorEastAsia"/>
          <w:sz w:val="21"/>
          <w:szCs w:val="21"/>
        </w:rPr>
      </w:pPr>
      <w:r w:rsidRPr="1A083BA6">
        <w:rPr>
          <w:rFonts w:eastAsiaTheme="minorEastAsia"/>
          <w:sz w:val="21"/>
          <w:szCs w:val="21"/>
        </w:rPr>
        <w:t>Literature review of visual impact assessment and seascape characterisation methodologies; evaluation of viewshed analysis algorithms in GIS software; download and collation of source marine environmental data</w:t>
      </w:r>
      <w:r w:rsidR="00B579F9">
        <w:rPr>
          <w:rFonts w:eastAsiaTheme="minorEastAsia"/>
          <w:sz w:val="21"/>
          <w:szCs w:val="21"/>
        </w:rPr>
        <w:t>.</w:t>
      </w:r>
    </w:p>
    <w:p w14:paraId="43B9AA01" w14:textId="47A48FBA" w:rsidR="008209BD" w:rsidRDefault="62F70491" w:rsidP="1A083BA6">
      <w:pPr>
        <w:spacing w:after="0"/>
        <w:rPr>
          <w:rFonts w:eastAsiaTheme="minorEastAsia"/>
          <w:sz w:val="21"/>
          <w:szCs w:val="21"/>
        </w:rPr>
      </w:pPr>
      <w:r w:rsidRPr="1A083BA6">
        <w:rPr>
          <w:rFonts w:eastAsiaTheme="minorEastAsia"/>
          <w:sz w:val="21"/>
          <w:szCs w:val="21"/>
        </w:rPr>
        <w:t>Year 2</w:t>
      </w:r>
    </w:p>
    <w:p w14:paraId="622DE5EB" w14:textId="4D920DAC" w:rsidR="008209BD" w:rsidRDefault="62F70491" w:rsidP="1A083BA6">
      <w:pPr>
        <w:spacing w:after="0"/>
        <w:rPr>
          <w:rFonts w:eastAsiaTheme="minorEastAsia"/>
          <w:sz w:val="21"/>
          <w:szCs w:val="21"/>
        </w:rPr>
      </w:pPr>
      <w:r w:rsidRPr="1A083BA6">
        <w:rPr>
          <w:rFonts w:eastAsiaTheme="minorEastAsia"/>
          <w:sz w:val="21"/>
          <w:szCs w:val="21"/>
        </w:rPr>
        <w:t>Review of factors for visual impact assessment. Development of improved approach for visual impact assessment in marine settings (coastal nation case study). Calibration of approach, testing fitness for purpose for sustainability appraisals across a range of audiences (workshop 1). Validation of approach using workshop 2 and questionnaire survey.</w:t>
      </w:r>
    </w:p>
    <w:p w14:paraId="773AF8E4" w14:textId="3ABD96A7" w:rsidR="1A083BA6" w:rsidRDefault="1A083BA6" w:rsidP="1A083BA6">
      <w:pPr>
        <w:spacing w:after="0"/>
        <w:rPr>
          <w:rFonts w:eastAsiaTheme="minorEastAsia"/>
          <w:sz w:val="21"/>
          <w:szCs w:val="21"/>
        </w:rPr>
      </w:pPr>
    </w:p>
    <w:p w14:paraId="549F4277" w14:textId="7A327F09" w:rsidR="001E6BF3" w:rsidRDefault="62F70491" w:rsidP="62F70491">
      <w:pPr>
        <w:spacing w:after="0"/>
        <w:rPr>
          <w:rFonts w:eastAsiaTheme="minorEastAsia"/>
          <w:sz w:val="21"/>
          <w:szCs w:val="21"/>
        </w:rPr>
      </w:pPr>
      <w:r w:rsidRPr="62F70491">
        <w:rPr>
          <w:rFonts w:eastAsiaTheme="minorEastAsia"/>
          <w:sz w:val="21"/>
          <w:szCs w:val="21"/>
        </w:rPr>
        <w:t>Year 3</w:t>
      </w:r>
    </w:p>
    <w:p w14:paraId="7E408636" w14:textId="71966CC4" w:rsidR="001E6BF3" w:rsidRDefault="62F70491" w:rsidP="62F70491">
      <w:pPr>
        <w:rPr>
          <w:rFonts w:eastAsiaTheme="minorEastAsia"/>
          <w:sz w:val="21"/>
          <w:szCs w:val="21"/>
        </w:rPr>
      </w:pPr>
      <w:r w:rsidRPr="62F70491">
        <w:rPr>
          <w:rFonts w:eastAsiaTheme="minorEastAsia"/>
          <w:sz w:val="21"/>
          <w:szCs w:val="21"/>
        </w:rPr>
        <w:t>Writing of thesis; development of publications to disseminate findings; Policy brief to government agencies; oral defence; exploration of follow-on project proposals.</w:t>
      </w:r>
    </w:p>
    <w:p w14:paraId="463BDDF2" w14:textId="03DCA393" w:rsidR="001E6BF3" w:rsidRDefault="62F70491" w:rsidP="62F70491">
      <w:pPr>
        <w:spacing w:after="0"/>
        <w:rPr>
          <w:rFonts w:eastAsiaTheme="minorEastAsia"/>
          <w:b/>
          <w:bCs/>
          <w:sz w:val="21"/>
          <w:szCs w:val="21"/>
        </w:rPr>
      </w:pPr>
      <w:r w:rsidRPr="62F70491">
        <w:rPr>
          <w:rFonts w:eastAsiaTheme="minorEastAsia"/>
          <w:b/>
          <w:bCs/>
          <w:sz w:val="21"/>
          <w:szCs w:val="21"/>
        </w:rPr>
        <w:t>Training and Skills</w:t>
      </w:r>
    </w:p>
    <w:p w14:paraId="427BE2AB" w14:textId="247E30F8" w:rsidR="001E6BF3" w:rsidRDefault="62F70491" w:rsidP="62F70491">
      <w:pPr>
        <w:rPr>
          <w:rFonts w:eastAsiaTheme="minorEastAsia"/>
          <w:sz w:val="21"/>
          <w:szCs w:val="21"/>
        </w:rPr>
      </w:pPr>
      <w:r w:rsidRPr="62F70491">
        <w:rPr>
          <w:rFonts w:eastAsiaTheme="minorEastAsia"/>
          <w:sz w:val="21"/>
          <w:szCs w:val="21"/>
        </w:rPr>
        <w:t xml:space="preserve">The student will receive training in GI science as part of the </w:t>
      </w:r>
      <w:hyperlink r:id="rId5">
        <w:r w:rsidRPr="62F70491">
          <w:rPr>
            <w:rStyle w:val="Hyperlink"/>
            <w:rFonts w:eastAsiaTheme="minorEastAsia"/>
            <w:sz w:val="21"/>
            <w:szCs w:val="21"/>
          </w:rPr>
          <w:t>BEGIN</w:t>
        </w:r>
      </w:hyperlink>
      <w:r w:rsidRPr="62F70491">
        <w:rPr>
          <w:rFonts w:eastAsiaTheme="minorEastAsia"/>
          <w:sz w:val="21"/>
          <w:szCs w:val="21"/>
        </w:rPr>
        <w:t xml:space="preserve"> institute, and social science methodologies as applied to marine environments as part of the </w:t>
      </w:r>
      <w:hyperlink r:id="rId6">
        <w:r w:rsidRPr="62F70491">
          <w:rPr>
            <w:rStyle w:val="Hyperlink"/>
            <w:rFonts w:eastAsiaTheme="minorEastAsia"/>
            <w:sz w:val="21"/>
            <w:szCs w:val="21"/>
          </w:rPr>
          <w:t>MACE</w:t>
        </w:r>
      </w:hyperlink>
      <w:r w:rsidRPr="62F70491">
        <w:rPr>
          <w:rFonts w:eastAsiaTheme="minorEastAsia"/>
          <w:sz w:val="21"/>
          <w:szCs w:val="21"/>
        </w:rPr>
        <w:t xml:space="preserve"> research team.</w:t>
      </w:r>
    </w:p>
    <w:p w14:paraId="05B1B1E8" w14:textId="31EDBC9D" w:rsidR="002170D0" w:rsidRDefault="002E6A08" w:rsidP="62F70491">
      <w:pPr>
        <w:rPr>
          <w:rFonts w:eastAsiaTheme="minorEastAsia"/>
          <w:sz w:val="21"/>
          <w:szCs w:val="21"/>
        </w:rPr>
      </w:pPr>
      <w:r>
        <w:rPr>
          <w:rFonts w:eastAsiaTheme="minorEastAsia"/>
          <w:sz w:val="21"/>
          <w:szCs w:val="21"/>
        </w:rPr>
        <w:t>The</w:t>
      </w:r>
      <w:r w:rsidR="00F86AE3">
        <w:rPr>
          <w:rFonts w:eastAsiaTheme="minorEastAsia"/>
          <w:sz w:val="21"/>
          <w:szCs w:val="21"/>
        </w:rPr>
        <w:t xml:space="preserve"> PhD </w:t>
      </w:r>
      <w:r w:rsidR="00172FD8">
        <w:rPr>
          <w:rFonts w:eastAsiaTheme="minorEastAsia"/>
          <w:sz w:val="21"/>
          <w:szCs w:val="21"/>
        </w:rPr>
        <w:t>Candidate</w:t>
      </w:r>
      <w:r w:rsidR="62F70491" w:rsidRPr="1A083BA6">
        <w:rPr>
          <w:rFonts w:eastAsiaTheme="minorEastAsia"/>
          <w:sz w:val="21"/>
          <w:szCs w:val="21"/>
        </w:rPr>
        <w:t xml:space="preserve"> </w:t>
      </w:r>
      <w:r>
        <w:rPr>
          <w:rFonts w:eastAsiaTheme="minorEastAsia"/>
          <w:sz w:val="21"/>
          <w:szCs w:val="21"/>
        </w:rPr>
        <w:t xml:space="preserve">would benefit </w:t>
      </w:r>
      <w:r w:rsidR="62F70491" w:rsidRPr="1A083BA6">
        <w:rPr>
          <w:rFonts w:eastAsiaTheme="minorEastAsia"/>
          <w:sz w:val="21"/>
          <w:szCs w:val="21"/>
        </w:rPr>
        <w:t xml:space="preserve">from </w:t>
      </w:r>
      <w:r>
        <w:rPr>
          <w:rFonts w:eastAsiaTheme="minorEastAsia"/>
          <w:sz w:val="21"/>
          <w:szCs w:val="21"/>
        </w:rPr>
        <w:t>specific compete</w:t>
      </w:r>
      <w:r w:rsidR="00545BD7">
        <w:rPr>
          <w:rFonts w:eastAsiaTheme="minorEastAsia"/>
          <w:sz w:val="21"/>
          <w:szCs w:val="21"/>
        </w:rPr>
        <w:t>n</w:t>
      </w:r>
      <w:r>
        <w:rPr>
          <w:rFonts w:eastAsiaTheme="minorEastAsia"/>
          <w:sz w:val="21"/>
          <w:szCs w:val="21"/>
        </w:rPr>
        <w:t>c</w:t>
      </w:r>
      <w:r w:rsidR="00545BD7">
        <w:rPr>
          <w:rFonts w:eastAsiaTheme="minorEastAsia"/>
          <w:sz w:val="21"/>
          <w:szCs w:val="21"/>
        </w:rPr>
        <w:t>i</w:t>
      </w:r>
      <w:r>
        <w:rPr>
          <w:rFonts w:eastAsiaTheme="minorEastAsia"/>
          <w:sz w:val="21"/>
          <w:szCs w:val="21"/>
        </w:rPr>
        <w:t xml:space="preserve">es, </w:t>
      </w:r>
      <w:r w:rsidR="62F70491" w:rsidRPr="1A083BA6">
        <w:rPr>
          <w:rFonts w:eastAsiaTheme="minorEastAsia"/>
          <w:sz w:val="21"/>
          <w:szCs w:val="21"/>
        </w:rPr>
        <w:t>knowledge and experience in the areas of</w:t>
      </w:r>
      <w:r w:rsidR="00172FD8">
        <w:rPr>
          <w:rFonts w:eastAsiaTheme="minorEastAsia"/>
          <w:sz w:val="21"/>
          <w:szCs w:val="21"/>
        </w:rPr>
        <w:t>:</w:t>
      </w:r>
    </w:p>
    <w:p w14:paraId="396C7163" w14:textId="51BD508D" w:rsidR="002170D0" w:rsidRPr="009A7D5C" w:rsidRDefault="002170D0" w:rsidP="009A7D5C">
      <w:pPr>
        <w:pStyle w:val="ListParagraph"/>
        <w:numPr>
          <w:ilvl w:val="0"/>
          <w:numId w:val="5"/>
        </w:numPr>
        <w:rPr>
          <w:rFonts w:eastAsiaTheme="minorEastAsia"/>
          <w:sz w:val="21"/>
          <w:szCs w:val="21"/>
        </w:rPr>
      </w:pPr>
      <w:r w:rsidRPr="009A7D5C">
        <w:rPr>
          <w:rFonts w:eastAsiaTheme="minorEastAsia"/>
          <w:sz w:val="21"/>
          <w:szCs w:val="21"/>
        </w:rPr>
        <w:t xml:space="preserve">Competence in </w:t>
      </w:r>
      <w:r w:rsidR="62F70491" w:rsidRPr="009A7D5C">
        <w:rPr>
          <w:rFonts w:eastAsiaTheme="minorEastAsia"/>
          <w:sz w:val="21"/>
          <w:szCs w:val="21"/>
        </w:rPr>
        <w:t xml:space="preserve">spatial data analysis </w:t>
      </w:r>
      <w:r w:rsidRPr="009A7D5C">
        <w:rPr>
          <w:rFonts w:eastAsiaTheme="minorEastAsia"/>
          <w:sz w:val="21"/>
          <w:szCs w:val="21"/>
        </w:rPr>
        <w:t>using QGIS</w:t>
      </w:r>
    </w:p>
    <w:p w14:paraId="34FF2CD2" w14:textId="78F284A8" w:rsidR="008D173A" w:rsidRPr="009A7D5C" w:rsidRDefault="008D173A" w:rsidP="009A7D5C">
      <w:pPr>
        <w:pStyle w:val="ListParagraph"/>
        <w:numPr>
          <w:ilvl w:val="0"/>
          <w:numId w:val="5"/>
        </w:numPr>
        <w:rPr>
          <w:rFonts w:eastAsiaTheme="minorEastAsia"/>
          <w:sz w:val="21"/>
          <w:szCs w:val="21"/>
        </w:rPr>
      </w:pPr>
      <w:r w:rsidRPr="009A7D5C">
        <w:rPr>
          <w:rFonts w:eastAsiaTheme="minorEastAsia"/>
          <w:sz w:val="21"/>
          <w:szCs w:val="21"/>
        </w:rPr>
        <w:t>Knowledge of the characteristics of ocean and relevant global datasets</w:t>
      </w:r>
      <w:r w:rsidR="00535FC9">
        <w:rPr>
          <w:rFonts w:eastAsiaTheme="minorEastAsia"/>
          <w:sz w:val="21"/>
          <w:szCs w:val="21"/>
        </w:rPr>
        <w:t>, and of knowledge elicitation techniques</w:t>
      </w:r>
      <w:r w:rsidR="00642B76">
        <w:rPr>
          <w:rFonts w:eastAsiaTheme="minorEastAsia"/>
          <w:sz w:val="21"/>
          <w:szCs w:val="21"/>
        </w:rPr>
        <w:t>.</w:t>
      </w:r>
    </w:p>
    <w:p w14:paraId="244BE523" w14:textId="38B6EC8A" w:rsidR="008D173A" w:rsidRPr="009A7D5C" w:rsidRDefault="00F07150" w:rsidP="009A7D5C">
      <w:pPr>
        <w:pStyle w:val="ListParagraph"/>
        <w:numPr>
          <w:ilvl w:val="0"/>
          <w:numId w:val="5"/>
        </w:numPr>
        <w:rPr>
          <w:rFonts w:eastAsiaTheme="minorEastAsia"/>
          <w:sz w:val="21"/>
          <w:szCs w:val="21"/>
        </w:rPr>
      </w:pPr>
      <w:r w:rsidRPr="009A7D5C">
        <w:rPr>
          <w:rFonts w:eastAsiaTheme="minorEastAsia"/>
          <w:sz w:val="21"/>
          <w:szCs w:val="21"/>
        </w:rPr>
        <w:t>Experience of managing interactive workshops with</w:t>
      </w:r>
      <w:r w:rsidR="009A7D5C" w:rsidRPr="009A7D5C">
        <w:rPr>
          <w:rFonts w:eastAsiaTheme="minorEastAsia"/>
          <w:sz w:val="21"/>
          <w:szCs w:val="21"/>
        </w:rPr>
        <w:t xml:space="preserve"> </w:t>
      </w:r>
      <w:r w:rsidR="00D47FB2">
        <w:rPr>
          <w:rFonts w:eastAsiaTheme="minorEastAsia"/>
          <w:sz w:val="21"/>
          <w:szCs w:val="21"/>
        </w:rPr>
        <w:t xml:space="preserve">marine </w:t>
      </w:r>
      <w:r w:rsidR="009A7D5C" w:rsidRPr="009A7D5C">
        <w:rPr>
          <w:rFonts w:eastAsiaTheme="minorEastAsia"/>
          <w:sz w:val="21"/>
          <w:szCs w:val="21"/>
        </w:rPr>
        <w:t>professional stakeholders</w:t>
      </w:r>
    </w:p>
    <w:p w14:paraId="4BBE1B4E" w14:textId="69A6A748" w:rsidR="00BB49F8" w:rsidRPr="001E6BF3" w:rsidRDefault="00F86AE3" w:rsidP="62F70491">
      <w:pPr>
        <w:rPr>
          <w:rFonts w:eastAsiaTheme="minorEastAsia"/>
          <w:sz w:val="21"/>
          <w:szCs w:val="21"/>
        </w:rPr>
      </w:pPr>
      <w:r w:rsidRPr="1A083BA6">
        <w:rPr>
          <w:rFonts w:eastAsiaTheme="minorEastAsia"/>
          <w:sz w:val="21"/>
          <w:szCs w:val="21"/>
        </w:rPr>
        <w:t xml:space="preserve">Candidates </w:t>
      </w:r>
      <w:r w:rsidR="62F70491" w:rsidRPr="1A083BA6">
        <w:rPr>
          <w:rFonts w:eastAsiaTheme="minorEastAsia"/>
          <w:sz w:val="21"/>
          <w:szCs w:val="21"/>
        </w:rPr>
        <w:t>are invited to reflect on the core questions driving the project and contact supervisors to discuss these.</w:t>
      </w:r>
    </w:p>
    <w:p w14:paraId="4EFE4960" w14:textId="28169891" w:rsidR="009125F9" w:rsidRPr="00647A72" w:rsidRDefault="62F70491" w:rsidP="62F70491">
      <w:pPr>
        <w:spacing w:after="0"/>
        <w:rPr>
          <w:rFonts w:eastAsiaTheme="minorEastAsia"/>
          <w:b/>
          <w:bCs/>
          <w:sz w:val="21"/>
          <w:szCs w:val="21"/>
        </w:rPr>
      </w:pPr>
      <w:r w:rsidRPr="62F70491">
        <w:rPr>
          <w:rFonts w:eastAsiaTheme="minorEastAsia"/>
          <w:b/>
          <w:bCs/>
          <w:sz w:val="21"/>
          <w:szCs w:val="21"/>
        </w:rPr>
        <w:t>A breakdown and justification of the requested RTSG</w:t>
      </w:r>
    </w:p>
    <w:p w14:paraId="3A529FBC" w14:textId="08753EDD" w:rsidR="001E6BF3" w:rsidRDefault="62F70491" w:rsidP="00592383">
      <w:pPr>
        <w:spacing w:after="0" w:line="240" w:lineRule="auto"/>
        <w:rPr>
          <w:rFonts w:eastAsiaTheme="minorEastAsia"/>
          <w:sz w:val="21"/>
          <w:szCs w:val="21"/>
        </w:rPr>
      </w:pPr>
      <w:r w:rsidRPr="62F70491">
        <w:rPr>
          <w:rFonts w:eastAsiaTheme="minorEastAsia"/>
          <w:sz w:val="21"/>
          <w:szCs w:val="21"/>
        </w:rPr>
        <w:t xml:space="preserve">Year 1: </w:t>
      </w:r>
      <w:r w:rsidR="00121E23">
        <w:rPr>
          <w:rFonts w:eastAsiaTheme="minorEastAsia"/>
          <w:sz w:val="21"/>
          <w:szCs w:val="21"/>
        </w:rPr>
        <w:t xml:space="preserve">Attendance at UK Coastal Futures </w:t>
      </w:r>
      <w:r w:rsidR="009F6386">
        <w:rPr>
          <w:rFonts w:eastAsiaTheme="minorEastAsia"/>
          <w:sz w:val="21"/>
          <w:szCs w:val="21"/>
        </w:rPr>
        <w:t>national practitioner conference London £</w:t>
      </w:r>
      <w:r w:rsidR="00592383">
        <w:rPr>
          <w:rFonts w:eastAsiaTheme="minorEastAsia"/>
          <w:sz w:val="21"/>
          <w:szCs w:val="21"/>
        </w:rPr>
        <w:t>4</w:t>
      </w:r>
      <w:r w:rsidR="009F6386">
        <w:rPr>
          <w:rFonts w:eastAsiaTheme="minorEastAsia"/>
          <w:sz w:val="21"/>
          <w:szCs w:val="21"/>
        </w:rPr>
        <w:t>50</w:t>
      </w:r>
    </w:p>
    <w:p w14:paraId="05E7CB9F" w14:textId="7B0D6DD3" w:rsidR="001E6BF3" w:rsidRDefault="62F70491" w:rsidP="00592383">
      <w:pPr>
        <w:spacing w:after="0" w:line="240" w:lineRule="auto"/>
        <w:rPr>
          <w:rFonts w:eastAsiaTheme="minorEastAsia"/>
          <w:sz w:val="21"/>
          <w:szCs w:val="21"/>
        </w:rPr>
      </w:pPr>
      <w:r w:rsidRPr="62F70491">
        <w:rPr>
          <w:rFonts w:eastAsiaTheme="minorEastAsia"/>
          <w:sz w:val="21"/>
          <w:szCs w:val="21"/>
        </w:rPr>
        <w:t>Year 2: Costs for 2 Workshops (Scotland) Room hire, refreshments (Delegates x24) £</w:t>
      </w:r>
      <w:r w:rsidR="003F27FB">
        <w:rPr>
          <w:rFonts w:eastAsiaTheme="minorEastAsia"/>
          <w:sz w:val="21"/>
          <w:szCs w:val="21"/>
        </w:rPr>
        <w:t>750</w:t>
      </w:r>
    </w:p>
    <w:p w14:paraId="507FDE7B" w14:textId="0A0BF63F" w:rsidR="62F70491" w:rsidRDefault="62F70491" w:rsidP="00592383">
      <w:pPr>
        <w:spacing w:after="0" w:line="240" w:lineRule="auto"/>
        <w:rPr>
          <w:rFonts w:eastAsiaTheme="minorEastAsia"/>
          <w:sz w:val="21"/>
          <w:szCs w:val="21"/>
        </w:rPr>
      </w:pPr>
      <w:r w:rsidRPr="62F70491">
        <w:rPr>
          <w:rFonts w:eastAsiaTheme="minorEastAsia"/>
          <w:sz w:val="21"/>
          <w:szCs w:val="21"/>
        </w:rPr>
        <w:t xml:space="preserve">Year 3: Attendance at GISRUK £500. </w:t>
      </w:r>
    </w:p>
    <w:p w14:paraId="4609E0BA" w14:textId="77777777" w:rsidR="00F86AE3" w:rsidRDefault="00F86AE3" w:rsidP="62F70491">
      <w:pPr>
        <w:spacing w:after="0"/>
        <w:rPr>
          <w:rFonts w:eastAsiaTheme="minorEastAsia"/>
          <w:b/>
          <w:bCs/>
          <w:sz w:val="21"/>
          <w:szCs w:val="21"/>
        </w:rPr>
      </w:pPr>
    </w:p>
    <w:p w14:paraId="1A009DD4" w14:textId="4A269AB5" w:rsidR="001E6BF3" w:rsidRDefault="62F70491" w:rsidP="62F70491">
      <w:pPr>
        <w:spacing w:after="0"/>
        <w:rPr>
          <w:rFonts w:eastAsiaTheme="minorEastAsia"/>
          <w:b/>
          <w:bCs/>
          <w:sz w:val="21"/>
          <w:szCs w:val="21"/>
        </w:rPr>
      </w:pPr>
      <w:r w:rsidRPr="62F70491">
        <w:rPr>
          <w:rFonts w:eastAsiaTheme="minorEastAsia"/>
          <w:b/>
          <w:bCs/>
          <w:sz w:val="21"/>
          <w:szCs w:val="21"/>
        </w:rPr>
        <w:t>References:</w:t>
      </w:r>
    </w:p>
    <w:p w14:paraId="41EAF4A5" w14:textId="2A86C567" w:rsidR="00B54239" w:rsidRPr="00C05087" w:rsidRDefault="62F70491" w:rsidP="62F70491">
      <w:pPr>
        <w:autoSpaceDE w:val="0"/>
        <w:autoSpaceDN w:val="0"/>
        <w:adjustRightInd w:val="0"/>
        <w:spacing w:after="0" w:line="240" w:lineRule="auto"/>
        <w:ind w:left="720" w:hanging="720"/>
        <w:rPr>
          <w:rFonts w:eastAsiaTheme="minorEastAsia"/>
          <w:sz w:val="21"/>
          <w:szCs w:val="21"/>
        </w:rPr>
      </w:pPr>
      <w:r w:rsidRPr="2A7DAD93">
        <w:rPr>
          <w:rFonts w:eastAsiaTheme="minorEastAsia"/>
          <w:sz w:val="21"/>
          <w:szCs w:val="21"/>
        </w:rPr>
        <w:t xml:space="preserve">Ballatore, A., W. McClintock, G. Goldberg, and W. Kuhn. 2019. Towards a usability scale for participatory GIS. International Conference on Geographic Information Science 327-348. Springer, Cham. </w:t>
      </w:r>
      <w:hyperlink r:id="rId7" w:history="1">
        <w:r w:rsidR="004F60FD" w:rsidRPr="00363862">
          <w:rPr>
            <w:rStyle w:val="Hyperlink"/>
            <w:rFonts w:eastAsiaTheme="minorEastAsia"/>
            <w:sz w:val="21"/>
            <w:szCs w:val="21"/>
          </w:rPr>
          <w:t>https://doi.org/10.1007/978-3-030-14745-7_18</w:t>
        </w:r>
      </w:hyperlink>
    </w:p>
    <w:p w14:paraId="1B08E2AD" w14:textId="27CD6005" w:rsidR="00B54239" w:rsidRPr="00C05087" w:rsidRDefault="62F70491" w:rsidP="62F70491">
      <w:pPr>
        <w:autoSpaceDE w:val="0"/>
        <w:autoSpaceDN w:val="0"/>
        <w:adjustRightInd w:val="0"/>
        <w:spacing w:after="0" w:line="240" w:lineRule="auto"/>
        <w:ind w:left="720" w:hanging="720"/>
        <w:rPr>
          <w:rFonts w:eastAsiaTheme="minorEastAsia"/>
          <w:i/>
          <w:iCs/>
          <w:sz w:val="21"/>
          <w:szCs w:val="21"/>
        </w:rPr>
      </w:pPr>
      <w:r w:rsidRPr="62F70491">
        <w:rPr>
          <w:rFonts w:eastAsiaTheme="minorEastAsia"/>
          <w:sz w:val="21"/>
          <w:szCs w:val="21"/>
        </w:rPr>
        <w:t xml:space="preserve">Marine Management Organisation (MMO). 2019. </w:t>
      </w:r>
      <w:r w:rsidRPr="00593A45">
        <w:rPr>
          <w:rFonts w:eastAsiaTheme="minorEastAsia"/>
          <w:sz w:val="21"/>
          <w:szCs w:val="21"/>
        </w:rPr>
        <w:t>Seascapes sensitivity assessment (MMO1204) Technical report. A report produced for the Marine Management Organisation, MMO Project No: 1204, December 2019.</w:t>
      </w:r>
    </w:p>
    <w:p w14:paraId="6C6A1954" w14:textId="029AC880" w:rsidR="00C05087" w:rsidRPr="00C05087" w:rsidRDefault="62F70491" w:rsidP="62F70491">
      <w:pPr>
        <w:autoSpaceDE w:val="0"/>
        <w:autoSpaceDN w:val="0"/>
        <w:adjustRightInd w:val="0"/>
        <w:spacing w:after="0" w:line="240" w:lineRule="auto"/>
        <w:ind w:left="720" w:hanging="720"/>
        <w:rPr>
          <w:rFonts w:eastAsiaTheme="minorEastAsia"/>
          <w:sz w:val="21"/>
          <w:szCs w:val="21"/>
        </w:rPr>
      </w:pPr>
      <w:r w:rsidRPr="62F70491">
        <w:rPr>
          <w:rFonts w:eastAsiaTheme="minorEastAsia"/>
          <w:sz w:val="21"/>
          <w:szCs w:val="21"/>
        </w:rPr>
        <w:t xml:space="preserve">Lovett, A., K. Appleton, B. Warren-Kretzschmar, and C. Von Haaren. 2015. Using 3D visualization methods in landscape planning: An evaluation of options and practical issues. </w:t>
      </w:r>
      <w:r w:rsidRPr="62F70491">
        <w:rPr>
          <w:rFonts w:eastAsiaTheme="minorEastAsia"/>
          <w:i/>
          <w:iCs/>
          <w:sz w:val="21"/>
          <w:szCs w:val="21"/>
        </w:rPr>
        <w:t>Landscape and Urban Planning</w:t>
      </w:r>
      <w:r w:rsidRPr="62F70491">
        <w:rPr>
          <w:rFonts w:eastAsiaTheme="minorEastAsia"/>
          <w:sz w:val="21"/>
          <w:szCs w:val="21"/>
        </w:rPr>
        <w:t xml:space="preserve"> 142: 85-94. </w:t>
      </w:r>
      <w:hyperlink r:id="rId8">
        <w:r w:rsidRPr="62F70491">
          <w:rPr>
            <w:rStyle w:val="Hyperlink"/>
            <w:rFonts w:eastAsiaTheme="minorEastAsia"/>
            <w:sz w:val="21"/>
            <w:szCs w:val="21"/>
          </w:rPr>
          <w:t>https://doi.org/10.1016/j.landurbplan.2015.02.021</w:t>
        </w:r>
      </w:hyperlink>
    </w:p>
    <w:p w14:paraId="4E348868" w14:textId="070A9478" w:rsidR="00DF44C0" w:rsidRPr="00C05087" w:rsidRDefault="62F70491" w:rsidP="62F70491">
      <w:pPr>
        <w:autoSpaceDE w:val="0"/>
        <w:autoSpaceDN w:val="0"/>
        <w:adjustRightInd w:val="0"/>
        <w:spacing w:after="0" w:line="240" w:lineRule="auto"/>
        <w:ind w:left="720" w:hanging="720"/>
        <w:rPr>
          <w:rFonts w:eastAsiaTheme="minorEastAsia"/>
          <w:sz w:val="21"/>
          <w:szCs w:val="21"/>
        </w:rPr>
      </w:pPr>
      <w:r w:rsidRPr="62F70491">
        <w:rPr>
          <w:rFonts w:eastAsiaTheme="minorEastAsia"/>
          <w:sz w:val="21"/>
          <w:szCs w:val="21"/>
        </w:rPr>
        <w:t xml:space="preserve">Newell, R., R. Canessa, and T. Sharma. 2017. Visualizing our options for coastal places: Exploring realistic immersive geovisualizations as tools for inclusive approaches to coastal planning and management. </w:t>
      </w:r>
      <w:r w:rsidRPr="62F70491">
        <w:rPr>
          <w:rFonts w:eastAsiaTheme="minorEastAsia"/>
          <w:i/>
          <w:iCs/>
          <w:sz w:val="21"/>
          <w:szCs w:val="21"/>
        </w:rPr>
        <w:t>Frontiers in Marine Science</w:t>
      </w:r>
      <w:r w:rsidRPr="62F70491">
        <w:rPr>
          <w:rFonts w:eastAsiaTheme="minorEastAsia"/>
          <w:sz w:val="21"/>
          <w:szCs w:val="21"/>
        </w:rPr>
        <w:t xml:space="preserve"> 4 (SEP). </w:t>
      </w:r>
      <w:hyperlink r:id="rId9">
        <w:r w:rsidRPr="62F70491">
          <w:rPr>
            <w:rStyle w:val="Hyperlink"/>
            <w:rFonts w:eastAsiaTheme="minorEastAsia"/>
            <w:sz w:val="21"/>
            <w:szCs w:val="21"/>
          </w:rPr>
          <w:t>https://doi.org/10.3389/fmars.2017.00290</w:t>
        </w:r>
      </w:hyperlink>
    </w:p>
    <w:p w14:paraId="77F6BDCC" w14:textId="3BEE7B64" w:rsidR="00B54239" w:rsidRPr="00C05087" w:rsidRDefault="62F70491" w:rsidP="62F70491">
      <w:pPr>
        <w:autoSpaceDE w:val="0"/>
        <w:autoSpaceDN w:val="0"/>
        <w:adjustRightInd w:val="0"/>
        <w:spacing w:after="0" w:line="240" w:lineRule="auto"/>
        <w:ind w:left="720" w:hanging="720"/>
        <w:rPr>
          <w:rFonts w:eastAsiaTheme="minorEastAsia"/>
          <w:sz w:val="21"/>
          <w:szCs w:val="21"/>
        </w:rPr>
      </w:pPr>
      <w:r w:rsidRPr="62F70491">
        <w:rPr>
          <w:rFonts w:eastAsiaTheme="minorEastAsia"/>
          <w:sz w:val="21"/>
          <w:szCs w:val="21"/>
        </w:rPr>
        <w:t xml:space="preserve">O'Higgins, T.  Dunne D. and Black, K. 2018. Many Points of View: Visibility Mapping for Marine Spatial Planning. </w:t>
      </w:r>
      <w:r w:rsidRPr="62F70491">
        <w:rPr>
          <w:rFonts w:eastAsiaTheme="minorEastAsia"/>
          <w:i/>
          <w:iCs/>
          <w:sz w:val="21"/>
          <w:szCs w:val="21"/>
        </w:rPr>
        <w:t>International Journal of Spatial Data Infrastructures Research,</w:t>
      </w:r>
      <w:r w:rsidRPr="62F70491">
        <w:rPr>
          <w:rFonts w:eastAsiaTheme="minorEastAsia"/>
          <w:sz w:val="21"/>
          <w:szCs w:val="21"/>
        </w:rPr>
        <w:t xml:space="preserve"> 13: 302-314. </w:t>
      </w:r>
      <w:hyperlink r:id="rId10">
        <w:r w:rsidRPr="62F70491">
          <w:rPr>
            <w:rStyle w:val="Hyperlink"/>
            <w:rFonts w:eastAsiaTheme="minorEastAsia"/>
            <w:sz w:val="21"/>
            <w:szCs w:val="21"/>
          </w:rPr>
          <w:t>https://doi.org/10.2902/1725-0463.2018.13.art18</w:t>
        </w:r>
      </w:hyperlink>
    </w:p>
    <w:p w14:paraId="37EF2312" w14:textId="031AC336" w:rsidR="443A4A09" w:rsidRDefault="62F70491" w:rsidP="62F70491">
      <w:pPr>
        <w:spacing w:after="0" w:line="240" w:lineRule="auto"/>
        <w:ind w:left="720" w:hanging="720"/>
        <w:rPr>
          <w:rFonts w:eastAsiaTheme="minorEastAsia"/>
          <w:sz w:val="21"/>
          <w:szCs w:val="21"/>
        </w:rPr>
      </w:pPr>
      <w:r w:rsidRPr="62F70491">
        <w:rPr>
          <w:rFonts w:eastAsiaTheme="minorEastAsia"/>
          <w:sz w:val="21"/>
          <w:szCs w:val="21"/>
        </w:rPr>
        <w:t xml:space="preserve">Openshaw, G. and B. Chamberlain. 2022. Optimizing Viewpoint Selection for Route-Based Experiences: Assessing the Role of Viewpoints on Viewshed Accuracy. </w:t>
      </w:r>
      <w:r w:rsidRPr="62F70491">
        <w:rPr>
          <w:rFonts w:eastAsiaTheme="minorEastAsia"/>
          <w:i/>
          <w:iCs/>
          <w:sz w:val="21"/>
          <w:szCs w:val="21"/>
        </w:rPr>
        <w:t xml:space="preserve">Land </w:t>
      </w:r>
      <w:r w:rsidRPr="62F70491">
        <w:rPr>
          <w:rFonts w:eastAsiaTheme="minorEastAsia"/>
          <w:sz w:val="21"/>
          <w:szCs w:val="21"/>
        </w:rPr>
        <w:t xml:space="preserve">11(8):1324. </w:t>
      </w:r>
      <w:hyperlink r:id="rId11" w:history="1">
        <w:r w:rsidR="000D5557" w:rsidRPr="00094307">
          <w:rPr>
            <w:rStyle w:val="Hyperlink"/>
            <w:rFonts w:eastAsiaTheme="minorEastAsia"/>
            <w:sz w:val="21"/>
            <w:szCs w:val="21"/>
          </w:rPr>
          <w:t>https://doi.org/10.3390/land11081324</w:t>
        </w:r>
      </w:hyperlink>
      <w:r w:rsidR="000D5557">
        <w:rPr>
          <w:rFonts w:eastAsiaTheme="minorEastAsia"/>
          <w:sz w:val="21"/>
          <w:szCs w:val="21"/>
        </w:rPr>
        <w:t xml:space="preserve"> </w:t>
      </w:r>
    </w:p>
    <w:p w14:paraId="0253D3B9" w14:textId="470073D9" w:rsidR="00B54239" w:rsidRPr="00C05087" w:rsidRDefault="62F70491" w:rsidP="62F70491">
      <w:pPr>
        <w:autoSpaceDE w:val="0"/>
        <w:autoSpaceDN w:val="0"/>
        <w:adjustRightInd w:val="0"/>
        <w:spacing w:after="0" w:line="240" w:lineRule="auto"/>
        <w:ind w:left="720" w:hanging="720"/>
        <w:rPr>
          <w:rFonts w:eastAsiaTheme="minorEastAsia"/>
          <w:sz w:val="21"/>
          <w:szCs w:val="21"/>
        </w:rPr>
      </w:pPr>
      <w:r w:rsidRPr="62F70491">
        <w:rPr>
          <w:rFonts w:eastAsiaTheme="minorEastAsia"/>
          <w:sz w:val="21"/>
          <w:szCs w:val="21"/>
        </w:rPr>
        <w:t xml:space="preserve">Portman, M. E., A. Natapov, and D. Fisher-Gewirtzman. 2015. To go where no man has gone before: Virtual reality in architecture, landscape architecture and environmental planning. </w:t>
      </w:r>
      <w:r w:rsidRPr="62F70491">
        <w:rPr>
          <w:rFonts w:eastAsiaTheme="minorEastAsia"/>
          <w:i/>
          <w:iCs/>
          <w:sz w:val="21"/>
          <w:szCs w:val="21"/>
        </w:rPr>
        <w:t>Computers, Environment and Urban Systems</w:t>
      </w:r>
      <w:r w:rsidRPr="62F70491">
        <w:rPr>
          <w:rFonts w:eastAsiaTheme="minorEastAsia"/>
          <w:sz w:val="21"/>
          <w:szCs w:val="21"/>
        </w:rPr>
        <w:t xml:space="preserve"> 54: 376-384. </w:t>
      </w:r>
      <w:hyperlink r:id="rId12">
        <w:r w:rsidRPr="62F70491">
          <w:rPr>
            <w:rStyle w:val="Hyperlink"/>
            <w:rFonts w:eastAsiaTheme="minorEastAsia"/>
            <w:sz w:val="21"/>
            <w:szCs w:val="21"/>
          </w:rPr>
          <w:t>https://doi.org/10.1016/j.compenvurbsys.2015.05.001</w:t>
        </w:r>
      </w:hyperlink>
    </w:p>
    <w:sectPr w:rsidR="00B54239" w:rsidRPr="00C05087" w:rsidSect="001E6B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EB89"/>
    <w:multiLevelType w:val="hybridMultilevel"/>
    <w:tmpl w:val="D8A0FF76"/>
    <w:lvl w:ilvl="0" w:tplc="FECEC290">
      <w:start w:val="1"/>
      <w:numFmt w:val="decimal"/>
      <w:lvlText w:val="%1."/>
      <w:lvlJc w:val="left"/>
      <w:pPr>
        <w:ind w:left="720" w:hanging="360"/>
      </w:pPr>
    </w:lvl>
    <w:lvl w:ilvl="1" w:tplc="9DF44296">
      <w:start w:val="1"/>
      <w:numFmt w:val="lowerLetter"/>
      <w:lvlText w:val="%2."/>
      <w:lvlJc w:val="left"/>
      <w:pPr>
        <w:ind w:left="1440" w:hanging="360"/>
      </w:pPr>
    </w:lvl>
    <w:lvl w:ilvl="2" w:tplc="C90C7484">
      <w:start w:val="1"/>
      <w:numFmt w:val="lowerRoman"/>
      <w:lvlText w:val="%3."/>
      <w:lvlJc w:val="right"/>
      <w:pPr>
        <w:ind w:left="2160" w:hanging="180"/>
      </w:pPr>
    </w:lvl>
    <w:lvl w:ilvl="3" w:tplc="6D388A00">
      <w:start w:val="1"/>
      <w:numFmt w:val="decimal"/>
      <w:lvlText w:val="%4."/>
      <w:lvlJc w:val="left"/>
      <w:pPr>
        <w:ind w:left="2880" w:hanging="360"/>
      </w:pPr>
    </w:lvl>
    <w:lvl w:ilvl="4" w:tplc="C0CCDB1A">
      <w:start w:val="1"/>
      <w:numFmt w:val="lowerLetter"/>
      <w:lvlText w:val="%5."/>
      <w:lvlJc w:val="left"/>
      <w:pPr>
        <w:ind w:left="3600" w:hanging="360"/>
      </w:pPr>
    </w:lvl>
    <w:lvl w:ilvl="5" w:tplc="F244A270">
      <w:start w:val="1"/>
      <w:numFmt w:val="lowerRoman"/>
      <w:lvlText w:val="%6."/>
      <w:lvlJc w:val="right"/>
      <w:pPr>
        <w:ind w:left="4320" w:hanging="180"/>
      </w:pPr>
    </w:lvl>
    <w:lvl w:ilvl="6" w:tplc="303A6822">
      <w:start w:val="1"/>
      <w:numFmt w:val="decimal"/>
      <w:lvlText w:val="%7."/>
      <w:lvlJc w:val="left"/>
      <w:pPr>
        <w:ind w:left="5040" w:hanging="360"/>
      </w:pPr>
    </w:lvl>
    <w:lvl w:ilvl="7" w:tplc="5ADC0B3A">
      <w:start w:val="1"/>
      <w:numFmt w:val="lowerLetter"/>
      <w:lvlText w:val="%8."/>
      <w:lvlJc w:val="left"/>
      <w:pPr>
        <w:ind w:left="5760" w:hanging="360"/>
      </w:pPr>
    </w:lvl>
    <w:lvl w:ilvl="8" w:tplc="125C9BE8">
      <w:start w:val="1"/>
      <w:numFmt w:val="lowerRoman"/>
      <w:lvlText w:val="%9."/>
      <w:lvlJc w:val="right"/>
      <w:pPr>
        <w:ind w:left="6480" w:hanging="180"/>
      </w:pPr>
    </w:lvl>
  </w:abstractNum>
  <w:abstractNum w:abstractNumId="1" w15:restartNumberingAfterBreak="0">
    <w:nsid w:val="26F086DB"/>
    <w:multiLevelType w:val="hybridMultilevel"/>
    <w:tmpl w:val="57CA4250"/>
    <w:lvl w:ilvl="0" w:tplc="6892310C">
      <w:start w:val="1"/>
      <w:numFmt w:val="bullet"/>
      <w:lvlText w:val=""/>
      <w:lvlJc w:val="left"/>
      <w:pPr>
        <w:ind w:left="720" w:hanging="360"/>
      </w:pPr>
      <w:rPr>
        <w:rFonts w:ascii="Symbol" w:hAnsi="Symbol" w:hint="default"/>
      </w:rPr>
    </w:lvl>
    <w:lvl w:ilvl="1" w:tplc="202814E4">
      <w:start w:val="1"/>
      <w:numFmt w:val="bullet"/>
      <w:lvlText w:val="o"/>
      <w:lvlJc w:val="left"/>
      <w:pPr>
        <w:ind w:left="1440" w:hanging="360"/>
      </w:pPr>
      <w:rPr>
        <w:rFonts w:ascii="Courier New" w:hAnsi="Courier New" w:hint="default"/>
      </w:rPr>
    </w:lvl>
    <w:lvl w:ilvl="2" w:tplc="E7089C10">
      <w:start w:val="1"/>
      <w:numFmt w:val="bullet"/>
      <w:lvlText w:val=""/>
      <w:lvlJc w:val="left"/>
      <w:pPr>
        <w:ind w:left="2160" w:hanging="360"/>
      </w:pPr>
      <w:rPr>
        <w:rFonts w:ascii="Wingdings" w:hAnsi="Wingdings" w:hint="default"/>
      </w:rPr>
    </w:lvl>
    <w:lvl w:ilvl="3" w:tplc="C250F0A2">
      <w:start w:val="1"/>
      <w:numFmt w:val="bullet"/>
      <w:lvlText w:val=""/>
      <w:lvlJc w:val="left"/>
      <w:pPr>
        <w:ind w:left="2880" w:hanging="360"/>
      </w:pPr>
      <w:rPr>
        <w:rFonts w:ascii="Symbol" w:hAnsi="Symbol" w:hint="default"/>
      </w:rPr>
    </w:lvl>
    <w:lvl w:ilvl="4" w:tplc="40BCFFD2">
      <w:start w:val="1"/>
      <w:numFmt w:val="bullet"/>
      <w:lvlText w:val="o"/>
      <w:lvlJc w:val="left"/>
      <w:pPr>
        <w:ind w:left="3600" w:hanging="360"/>
      </w:pPr>
      <w:rPr>
        <w:rFonts w:ascii="Courier New" w:hAnsi="Courier New" w:hint="default"/>
      </w:rPr>
    </w:lvl>
    <w:lvl w:ilvl="5" w:tplc="B7BC3270">
      <w:start w:val="1"/>
      <w:numFmt w:val="bullet"/>
      <w:lvlText w:val=""/>
      <w:lvlJc w:val="left"/>
      <w:pPr>
        <w:ind w:left="4320" w:hanging="360"/>
      </w:pPr>
      <w:rPr>
        <w:rFonts w:ascii="Wingdings" w:hAnsi="Wingdings" w:hint="default"/>
      </w:rPr>
    </w:lvl>
    <w:lvl w:ilvl="6" w:tplc="7846B44C">
      <w:start w:val="1"/>
      <w:numFmt w:val="bullet"/>
      <w:lvlText w:val=""/>
      <w:lvlJc w:val="left"/>
      <w:pPr>
        <w:ind w:left="5040" w:hanging="360"/>
      </w:pPr>
      <w:rPr>
        <w:rFonts w:ascii="Symbol" w:hAnsi="Symbol" w:hint="default"/>
      </w:rPr>
    </w:lvl>
    <w:lvl w:ilvl="7" w:tplc="78D0461A">
      <w:start w:val="1"/>
      <w:numFmt w:val="bullet"/>
      <w:lvlText w:val="o"/>
      <w:lvlJc w:val="left"/>
      <w:pPr>
        <w:ind w:left="5760" w:hanging="360"/>
      </w:pPr>
      <w:rPr>
        <w:rFonts w:ascii="Courier New" w:hAnsi="Courier New" w:hint="default"/>
      </w:rPr>
    </w:lvl>
    <w:lvl w:ilvl="8" w:tplc="C3DA37E0">
      <w:start w:val="1"/>
      <w:numFmt w:val="bullet"/>
      <w:lvlText w:val=""/>
      <w:lvlJc w:val="left"/>
      <w:pPr>
        <w:ind w:left="6480" w:hanging="360"/>
      </w:pPr>
      <w:rPr>
        <w:rFonts w:ascii="Wingdings" w:hAnsi="Wingdings" w:hint="default"/>
      </w:rPr>
    </w:lvl>
  </w:abstractNum>
  <w:abstractNum w:abstractNumId="2" w15:restartNumberingAfterBreak="0">
    <w:nsid w:val="4FB474F0"/>
    <w:multiLevelType w:val="hybridMultilevel"/>
    <w:tmpl w:val="B6FE9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94C711"/>
    <w:multiLevelType w:val="hybridMultilevel"/>
    <w:tmpl w:val="F85EF520"/>
    <w:lvl w:ilvl="0" w:tplc="7A58002C">
      <w:start w:val="1"/>
      <w:numFmt w:val="decimal"/>
      <w:lvlText w:val="%1."/>
      <w:lvlJc w:val="left"/>
      <w:pPr>
        <w:ind w:left="720" w:hanging="360"/>
      </w:pPr>
    </w:lvl>
    <w:lvl w:ilvl="1" w:tplc="E3526428">
      <w:start w:val="1"/>
      <w:numFmt w:val="lowerLetter"/>
      <w:lvlText w:val="%2."/>
      <w:lvlJc w:val="left"/>
      <w:pPr>
        <w:ind w:left="1440" w:hanging="360"/>
      </w:pPr>
    </w:lvl>
    <w:lvl w:ilvl="2" w:tplc="D73A6BE0">
      <w:start w:val="1"/>
      <w:numFmt w:val="lowerRoman"/>
      <w:lvlText w:val="%3."/>
      <w:lvlJc w:val="right"/>
      <w:pPr>
        <w:ind w:left="2160" w:hanging="180"/>
      </w:pPr>
    </w:lvl>
    <w:lvl w:ilvl="3" w:tplc="DDDE259E">
      <w:start w:val="1"/>
      <w:numFmt w:val="decimal"/>
      <w:lvlText w:val="%4."/>
      <w:lvlJc w:val="left"/>
      <w:pPr>
        <w:ind w:left="2880" w:hanging="360"/>
      </w:pPr>
    </w:lvl>
    <w:lvl w:ilvl="4" w:tplc="82DE0D20">
      <w:start w:val="1"/>
      <w:numFmt w:val="lowerLetter"/>
      <w:lvlText w:val="%5."/>
      <w:lvlJc w:val="left"/>
      <w:pPr>
        <w:ind w:left="3600" w:hanging="360"/>
      </w:pPr>
    </w:lvl>
    <w:lvl w:ilvl="5" w:tplc="FB5C9428">
      <w:start w:val="1"/>
      <w:numFmt w:val="lowerRoman"/>
      <w:lvlText w:val="%6."/>
      <w:lvlJc w:val="right"/>
      <w:pPr>
        <w:ind w:left="4320" w:hanging="180"/>
      </w:pPr>
    </w:lvl>
    <w:lvl w:ilvl="6" w:tplc="3F006096">
      <w:start w:val="1"/>
      <w:numFmt w:val="decimal"/>
      <w:lvlText w:val="%7."/>
      <w:lvlJc w:val="left"/>
      <w:pPr>
        <w:ind w:left="5040" w:hanging="360"/>
      </w:pPr>
    </w:lvl>
    <w:lvl w:ilvl="7" w:tplc="B442D0CE">
      <w:start w:val="1"/>
      <w:numFmt w:val="lowerLetter"/>
      <w:lvlText w:val="%8."/>
      <w:lvlJc w:val="left"/>
      <w:pPr>
        <w:ind w:left="5760" w:hanging="360"/>
      </w:pPr>
    </w:lvl>
    <w:lvl w:ilvl="8" w:tplc="E4DA2744">
      <w:start w:val="1"/>
      <w:numFmt w:val="lowerRoman"/>
      <w:lvlText w:val="%9."/>
      <w:lvlJc w:val="right"/>
      <w:pPr>
        <w:ind w:left="6480" w:hanging="180"/>
      </w:pPr>
    </w:lvl>
  </w:abstractNum>
  <w:abstractNum w:abstractNumId="4" w15:restartNumberingAfterBreak="0">
    <w:nsid w:val="5EA63F03"/>
    <w:multiLevelType w:val="hybridMultilevel"/>
    <w:tmpl w:val="4828AE4E"/>
    <w:lvl w:ilvl="0" w:tplc="0B2CFC26">
      <w:start w:val="1"/>
      <w:numFmt w:val="bullet"/>
      <w:lvlText w:val=""/>
      <w:lvlJc w:val="left"/>
      <w:pPr>
        <w:ind w:left="360" w:hanging="360"/>
      </w:pPr>
      <w:rPr>
        <w:rFonts w:ascii="Symbol" w:hAnsi="Symbol" w:hint="default"/>
      </w:rPr>
    </w:lvl>
    <w:lvl w:ilvl="1" w:tplc="C738261C" w:tentative="1">
      <w:start w:val="1"/>
      <w:numFmt w:val="bullet"/>
      <w:lvlText w:val="o"/>
      <w:lvlJc w:val="left"/>
      <w:pPr>
        <w:ind w:left="1080" w:hanging="360"/>
      </w:pPr>
      <w:rPr>
        <w:rFonts w:ascii="Courier New" w:hAnsi="Courier New" w:hint="default"/>
      </w:rPr>
    </w:lvl>
    <w:lvl w:ilvl="2" w:tplc="4AF648A4" w:tentative="1">
      <w:start w:val="1"/>
      <w:numFmt w:val="bullet"/>
      <w:lvlText w:val=""/>
      <w:lvlJc w:val="left"/>
      <w:pPr>
        <w:ind w:left="1800" w:hanging="360"/>
      </w:pPr>
      <w:rPr>
        <w:rFonts w:ascii="Wingdings" w:hAnsi="Wingdings" w:hint="default"/>
      </w:rPr>
    </w:lvl>
    <w:lvl w:ilvl="3" w:tplc="391EA81C" w:tentative="1">
      <w:start w:val="1"/>
      <w:numFmt w:val="bullet"/>
      <w:lvlText w:val=""/>
      <w:lvlJc w:val="left"/>
      <w:pPr>
        <w:ind w:left="2520" w:hanging="360"/>
      </w:pPr>
      <w:rPr>
        <w:rFonts w:ascii="Symbol" w:hAnsi="Symbol" w:hint="default"/>
      </w:rPr>
    </w:lvl>
    <w:lvl w:ilvl="4" w:tplc="C3D8E404" w:tentative="1">
      <w:start w:val="1"/>
      <w:numFmt w:val="bullet"/>
      <w:lvlText w:val="o"/>
      <w:lvlJc w:val="left"/>
      <w:pPr>
        <w:ind w:left="3240" w:hanging="360"/>
      </w:pPr>
      <w:rPr>
        <w:rFonts w:ascii="Courier New" w:hAnsi="Courier New" w:hint="default"/>
      </w:rPr>
    </w:lvl>
    <w:lvl w:ilvl="5" w:tplc="F4980A6C" w:tentative="1">
      <w:start w:val="1"/>
      <w:numFmt w:val="bullet"/>
      <w:lvlText w:val=""/>
      <w:lvlJc w:val="left"/>
      <w:pPr>
        <w:ind w:left="3960" w:hanging="360"/>
      </w:pPr>
      <w:rPr>
        <w:rFonts w:ascii="Wingdings" w:hAnsi="Wingdings" w:hint="default"/>
      </w:rPr>
    </w:lvl>
    <w:lvl w:ilvl="6" w:tplc="240AD56C" w:tentative="1">
      <w:start w:val="1"/>
      <w:numFmt w:val="bullet"/>
      <w:lvlText w:val=""/>
      <w:lvlJc w:val="left"/>
      <w:pPr>
        <w:ind w:left="4680" w:hanging="360"/>
      </w:pPr>
      <w:rPr>
        <w:rFonts w:ascii="Symbol" w:hAnsi="Symbol" w:hint="default"/>
      </w:rPr>
    </w:lvl>
    <w:lvl w:ilvl="7" w:tplc="3CB693DA" w:tentative="1">
      <w:start w:val="1"/>
      <w:numFmt w:val="bullet"/>
      <w:lvlText w:val="o"/>
      <w:lvlJc w:val="left"/>
      <w:pPr>
        <w:ind w:left="5400" w:hanging="360"/>
      </w:pPr>
      <w:rPr>
        <w:rFonts w:ascii="Courier New" w:hAnsi="Courier New" w:hint="default"/>
      </w:rPr>
    </w:lvl>
    <w:lvl w:ilvl="8" w:tplc="8BD6F578" w:tentative="1">
      <w:start w:val="1"/>
      <w:numFmt w:val="bullet"/>
      <w:lvlText w:val=""/>
      <w:lvlJc w:val="left"/>
      <w:pPr>
        <w:ind w:left="6120" w:hanging="360"/>
      </w:pPr>
      <w:rPr>
        <w:rFonts w:ascii="Wingdings" w:hAnsi="Wingdings" w:hint="default"/>
      </w:rPr>
    </w:lvl>
  </w:abstractNum>
  <w:num w:numId="1" w16cid:durableId="1013071468">
    <w:abstractNumId w:val="0"/>
  </w:num>
  <w:num w:numId="2" w16cid:durableId="1555385892">
    <w:abstractNumId w:val="3"/>
  </w:num>
  <w:num w:numId="3" w16cid:durableId="189029842">
    <w:abstractNumId w:val="1"/>
  </w:num>
  <w:num w:numId="4" w16cid:durableId="247617063">
    <w:abstractNumId w:val="4"/>
  </w:num>
  <w:num w:numId="5" w16cid:durableId="9522491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B20"/>
    <w:rsid w:val="000206E2"/>
    <w:rsid w:val="00055D9F"/>
    <w:rsid w:val="000747D4"/>
    <w:rsid w:val="000D4541"/>
    <w:rsid w:val="000D5557"/>
    <w:rsid w:val="00114F44"/>
    <w:rsid w:val="00121E23"/>
    <w:rsid w:val="00161DCB"/>
    <w:rsid w:val="00172C66"/>
    <w:rsid w:val="00172FD8"/>
    <w:rsid w:val="0018696D"/>
    <w:rsid w:val="00191592"/>
    <w:rsid w:val="001A2B8F"/>
    <w:rsid w:val="001E6BF3"/>
    <w:rsid w:val="002170D0"/>
    <w:rsid w:val="002E3EDC"/>
    <w:rsid w:val="002E6A08"/>
    <w:rsid w:val="00361B91"/>
    <w:rsid w:val="003F27FB"/>
    <w:rsid w:val="003F2A46"/>
    <w:rsid w:val="00481926"/>
    <w:rsid w:val="004A0313"/>
    <w:rsid w:val="004F60FD"/>
    <w:rsid w:val="00535FC9"/>
    <w:rsid w:val="00545BD7"/>
    <w:rsid w:val="00592383"/>
    <w:rsid w:val="00593A45"/>
    <w:rsid w:val="005B787C"/>
    <w:rsid w:val="0061074B"/>
    <w:rsid w:val="00642B76"/>
    <w:rsid w:val="00647A72"/>
    <w:rsid w:val="007E6B20"/>
    <w:rsid w:val="008209BD"/>
    <w:rsid w:val="00832237"/>
    <w:rsid w:val="00870042"/>
    <w:rsid w:val="0088347C"/>
    <w:rsid w:val="008D173A"/>
    <w:rsid w:val="009125F9"/>
    <w:rsid w:val="009A7D5C"/>
    <w:rsid w:val="009F6386"/>
    <w:rsid w:val="00A75801"/>
    <w:rsid w:val="00B48EB4"/>
    <w:rsid w:val="00B54239"/>
    <w:rsid w:val="00B579F9"/>
    <w:rsid w:val="00B7686F"/>
    <w:rsid w:val="00B83AFA"/>
    <w:rsid w:val="00BB49F8"/>
    <w:rsid w:val="00BC064D"/>
    <w:rsid w:val="00BE0D66"/>
    <w:rsid w:val="00BF1BD3"/>
    <w:rsid w:val="00C00D21"/>
    <w:rsid w:val="00C05087"/>
    <w:rsid w:val="00C32128"/>
    <w:rsid w:val="00C64F52"/>
    <w:rsid w:val="00CD72B7"/>
    <w:rsid w:val="00D05CAA"/>
    <w:rsid w:val="00D22024"/>
    <w:rsid w:val="00D47FB2"/>
    <w:rsid w:val="00D559A6"/>
    <w:rsid w:val="00D8350C"/>
    <w:rsid w:val="00D972C8"/>
    <w:rsid w:val="00DB5800"/>
    <w:rsid w:val="00DB695E"/>
    <w:rsid w:val="00DC7A59"/>
    <w:rsid w:val="00DF44C0"/>
    <w:rsid w:val="00E320B9"/>
    <w:rsid w:val="00E339D0"/>
    <w:rsid w:val="00E42EAB"/>
    <w:rsid w:val="00E47BF7"/>
    <w:rsid w:val="00E562A3"/>
    <w:rsid w:val="00EC3C1B"/>
    <w:rsid w:val="00F07150"/>
    <w:rsid w:val="00F73DC9"/>
    <w:rsid w:val="00F86AE3"/>
    <w:rsid w:val="00FA0747"/>
    <w:rsid w:val="022D4757"/>
    <w:rsid w:val="02CDA27C"/>
    <w:rsid w:val="038BE912"/>
    <w:rsid w:val="053D646E"/>
    <w:rsid w:val="05B558B8"/>
    <w:rsid w:val="069ED5D7"/>
    <w:rsid w:val="06D7354E"/>
    <w:rsid w:val="06FC01E5"/>
    <w:rsid w:val="06FE45C6"/>
    <w:rsid w:val="07EA3819"/>
    <w:rsid w:val="07F99F10"/>
    <w:rsid w:val="081D77F1"/>
    <w:rsid w:val="08339EE0"/>
    <w:rsid w:val="089A1627"/>
    <w:rsid w:val="08C3DF5A"/>
    <w:rsid w:val="0910A85B"/>
    <w:rsid w:val="093CE400"/>
    <w:rsid w:val="09BC1B91"/>
    <w:rsid w:val="0AD822F3"/>
    <w:rsid w:val="0B1F89BB"/>
    <w:rsid w:val="0B821083"/>
    <w:rsid w:val="0BCDD8B8"/>
    <w:rsid w:val="0BFF7EB4"/>
    <w:rsid w:val="0C01C3D4"/>
    <w:rsid w:val="0C6633B0"/>
    <w:rsid w:val="0E105523"/>
    <w:rsid w:val="0E1BEB28"/>
    <w:rsid w:val="0E1FF4F2"/>
    <w:rsid w:val="0F0367D3"/>
    <w:rsid w:val="0F167971"/>
    <w:rsid w:val="0F3D2897"/>
    <w:rsid w:val="0F50D0CF"/>
    <w:rsid w:val="1052AD0A"/>
    <w:rsid w:val="122871C4"/>
    <w:rsid w:val="124DACB4"/>
    <w:rsid w:val="125BB703"/>
    <w:rsid w:val="12C9BC99"/>
    <w:rsid w:val="12CB8BAB"/>
    <w:rsid w:val="14008AAC"/>
    <w:rsid w:val="149CD234"/>
    <w:rsid w:val="162DD0CF"/>
    <w:rsid w:val="164A6C17"/>
    <w:rsid w:val="1656F5C7"/>
    <w:rsid w:val="1685D461"/>
    <w:rsid w:val="184A7E2B"/>
    <w:rsid w:val="18DA8794"/>
    <w:rsid w:val="1974D453"/>
    <w:rsid w:val="19CBD515"/>
    <w:rsid w:val="19E64E8C"/>
    <w:rsid w:val="1A083BA6"/>
    <w:rsid w:val="1B194501"/>
    <w:rsid w:val="1B205630"/>
    <w:rsid w:val="1B739E31"/>
    <w:rsid w:val="1BC7AE40"/>
    <w:rsid w:val="1BD59728"/>
    <w:rsid w:val="1BEB5C8A"/>
    <w:rsid w:val="1C662A32"/>
    <w:rsid w:val="1CD12AA6"/>
    <w:rsid w:val="1CD8CE33"/>
    <w:rsid w:val="1D2B9F22"/>
    <w:rsid w:val="1D304D82"/>
    <w:rsid w:val="1D74E2F1"/>
    <w:rsid w:val="1D94D05A"/>
    <w:rsid w:val="1D9C7C30"/>
    <w:rsid w:val="1DB2AF64"/>
    <w:rsid w:val="1E4AD852"/>
    <w:rsid w:val="1E60B85E"/>
    <w:rsid w:val="1EB9BFAF"/>
    <w:rsid w:val="1FDC5BDB"/>
    <w:rsid w:val="20193CF1"/>
    <w:rsid w:val="20DF0DB4"/>
    <w:rsid w:val="214CDCF7"/>
    <w:rsid w:val="21F97761"/>
    <w:rsid w:val="22BF20E0"/>
    <w:rsid w:val="23923586"/>
    <w:rsid w:val="2416AE76"/>
    <w:rsid w:val="241EEDFB"/>
    <w:rsid w:val="24483713"/>
    <w:rsid w:val="24AA3E58"/>
    <w:rsid w:val="2501581A"/>
    <w:rsid w:val="250A7169"/>
    <w:rsid w:val="2545958D"/>
    <w:rsid w:val="25A13D93"/>
    <w:rsid w:val="2643C2CE"/>
    <w:rsid w:val="27187AD4"/>
    <w:rsid w:val="28A72C77"/>
    <w:rsid w:val="28EAEEC2"/>
    <w:rsid w:val="292DE798"/>
    <w:rsid w:val="2A69A8F8"/>
    <w:rsid w:val="2A7DAD93"/>
    <w:rsid w:val="2B5972E6"/>
    <w:rsid w:val="2CAF0187"/>
    <w:rsid w:val="2CE53B51"/>
    <w:rsid w:val="2CED3881"/>
    <w:rsid w:val="2CF21CF8"/>
    <w:rsid w:val="2D4E5ED2"/>
    <w:rsid w:val="2D5661B3"/>
    <w:rsid w:val="2DCA74CC"/>
    <w:rsid w:val="2EEA2F33"/>
    <w:rsid w:val="2F1F24D3"/>
    <w:rsid w:val="2FE4E292"/>
    <w:rsid w:val="305E6136"/>
    <w:rsid w:val="3062406E"/>
    <w:rsid w:val="3085FF94"/>
    <w:rsid w:val="30CFF949"/>
    <w:rsid w:val="31D52FA8"/>
    <w:rsid w:val="3293A838"/>
    <w:rsid w:val="33651A52"/>
    <w:rsid w:val="347DEF32"/>
    <w:rsid w:val="35076CD6"/>
    <w:rsid w:val="35521DD0"/>
    <w:rsid w:val="35C0B842"/>
    <w:rsid w:val="35DBD8DD"/>
    <w:rsid w:val="35F10FC3"/>
    <w:rsid w:val="36E38DB0"/>
    <w:rsid w:val="370B0164"/>
    <w:rsid w:val="37329F84"/>
    <w:rsid w:val="376C4733"/>
    <w:rsid w:val="3777A93E"/>
    <w:rsid w:val="37B18C74"/>
    <w:rsid w:val="37EC9307"/>
    <w:rsid w:val="383F0D98"/>
    <w:rsid w:val="3886CA35"/>
    <w:rsid w:val="38DD9E5D"/>
    <w:rsid w:val="3A61D77A"/>
    <w:rsid w:val="3AD589E7"/>
    <w:rsid w:val="3BE74C9D"/>
    <w:rsid w:val="3D45AFCD"/>
    <w:rsid w:val="3D5A3B58"/>
    <w:rsid w:val="3D6F7563"/>
    <w:rsid w:val="3DF3A785"/>
    <w:rsid w:val="3E443FA0"/>
    <w:rsid w:val="3E9C1826"/>
    <w:rsid w:val="3ECD49DA"/>
    <w:rsid w:val="3F4434C1"/>
    <w:rsid w:val="3F8C8C90"/>
    <w:rsid w:val="40FFE24A"/>
    <w:rsid w:val="413BE1C6"/>
    <w:rsid w:val="41F2DD16"/>
    <w:rsid w:val="425D1F9B"/>
    <w:rsid w:val="42AE48E6"/>
    <w:rsid w:val="43128E55"/>
    <w:rsid w:val="437117F5"/>
    <w:rsid w:val="43E7F22A"/>
    <w:rsid w:val="43EC058E"/>
    <w:rsid w:val="443A4A09"/>
    <w:rsid w:val="45135538"/>
    <w:rsid w:val="45DEC992"/>
    <w:rsid w:val="460D4447"/>
    <w:rsid w:val="468EBE01"/>
    <w:rsid w:val="476678AE"/>
    <w:rsid w:val="47C6083B"/>
    <w:rsid w:val="47DBDCC1"/>
    <w:rsid w:val="47F2C047"/>
    <w:rsid w:val="483FB5FE"/>
    <w:rsid w:val="49082C86"/>
    <w:rsid w:val="495CB23F"/>
    <w:rsid w:val="49DB865F"/>
    <w:rsid w:val="4AA29AE6"/>
    <w:rsid w:val="4AA4BE84"/>
    <w:rsid w:val="4B64F735"/>
    <w:rsid w:val="4BF4D35E"/>
    <w:rsid w:val="4C0C78BE"/>
    <w:rsid w:val="4C52E6C8"/>
    <w:rsid w:val="4CAF2957"/>
    <w:rsid w:val="4DD22C63"/>
    <w:rsid w:val="4F3F1681"/>
    <w:rsid w:val="4F54D9E1"/>
    <w:rsid w:val="50559435"/>
    <w:rsid w:val="5152DA71"/>
    <w:rsid w:val="51858ED7"/>
    <w:rsid w:val="51E6AD18"/>
    <w:rsid w:val="531E6ADB"/>
    <w:rsid w:val="53379011"/>
    <w:rsid w:val="547B4AC2"/>
    <w:rsid w:val="556A3630"/>
    <w:rsid w:val="567C2024"/>
    <w:rsid w:val="56976039"/>
    <w:rsid w:val="577522AC"/>
    <w:rsid w:val="57A77967"/>
    <w:rsid w:val="58078DE0"/>
    <w:rsid w:val="5817F085"/>
    <w:rsid w:val="583118E2"/>
    <w:rsid w:val="589DCD5D"/>
    <w:rsid w:val="596E3EDE"/>
    <w:rsid w:val="59A35E41"/>
    <w:rsid w:val="59FF8458"/>
    <w:rsid w:val="5AD0F620"/>
    <w:rsid w:val="5C765B9A"/>
    <w:rsid w:val="5C8C09CF"/>
    <w:rsid w:val="5D2D62F2"/>
    <w:rsid w:val="5ECAA984"/>
    <w:rsid w:val="5F502289"/>
    <w:rsid w:val="5F5BAF2A"/>
    <w:rsid w:val="5FADFC5C"/>
    <w:rsid w:val="5FAFD439"/>
    <w:rsid w:val="5FBC7CEC"/>
    <w:rsid w:val="6105E6D7"/>
    <w:rsid w:val="61B38CA9"/>
    <w:rsid w:val="62F70491"/>
    <w:rsid w:val="64463317"/>
    <w:rsid w:val="64776792"/>
    <w:rsid w:val="64908FEF"/>
    <w:rsid w:val="64DB40E9"/>
    <w:rsid w:val="64ED5054"/>
    <w:rsid w:val="653C5F2A"/>
    <w:rsid w:val="6619C3B8"/>
    <w:rsid w:val="6655DE3E"/>
    <w:rsid w:val="6766FFC8"/>
    <w:rsid w:val="679E0D0D"/>
    <w:rsid w:val="67AF0854"/>
    <w:rsid w:val="68B47658"/>
    <w:rsid w:val="68C0DF25"/>
    <w:rsid w:val="69445692"/>
    <w:rsid w:val="699EC17E"/>
    <w:rsid w:val="69CA4932"/>
    <w:rsid w:val="6A978FF5"/>
    <w:rsid w:val="6B3F0912"/>
    <w:rsid w:val="6B9FC447"/>
    <w:rsid w:val="6C827977"/>
    <w:rsid w:val="6C89053C"/>
    <w:rsid w:val="6DA873CF"/>
    <w:rsid w:val="6E7907B4"/>
    <w:rsid w:val="6EA52363"/>
    <w:rsid w:val="6EA54359"/>
    <w:rsid w:val="6EF8C0C9"/>
    <w:rsid w:val="6F277589"/>
    <w:rsid w:val="6F32417E"/>
    <w:rsid w:val="70BDEC3A"/>
    <w:rsid w:val="7304BA36"/>
    <w:rsid w:val="75771975"/>
    <w:rsid w:val="757D59D8"/>
    <w:rsid w:val="75DF7C1A"/>
    <w:rsid w:val="76A5FF40"/>
    <w:rsid w:val="76B0553E"/>
    <w:rsid w:val="76F0B054"/>
    <w:rsid w:val="771A4195"/>
    <w:rsid w:val="789D1AB9"/>
    <w:rsid w:val="791E47AD"/>
    <w:rsid w:val="7920E179"/>
    <w:rsid w:val="79AA358C"/>
    <w:rsid w:val="79DE6D72"/>
    <w:rsid w:val="7C9A08A4"/>
    <w:rsid w:val="7CE18C92"/>
    <w:rsid w:val="7D7CEDF1"/>
    <w:rsid w:val="7DF4529C"/>
    <w:rsid w:val="7E1A4CAE"/>
    <w:rsid w:val="7E4840BD"/>
    <w:rsid w:val="7EC6FFAC"/>
    <w:rsid w:val="7EE5000E"/>
    <w:rsid w:val="7F18BE52"/>
    <w:rsid w:val="7F7FE1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86A30AD"/>
  <w15:chartTrackingRefBased/>
  <w15:docId w15:val="{0094E07D-7C4D-4FB4-A799-2FD98A4EA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0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0B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54239"/>
    <w:pPr>
      <w:ind w:left="720"/>
      <w:contextualSpacing/>
    </w:pPr>
  </w:style>
  <w:style w:type="character" w:styleId="CommentReference">
    <w:name w:val="annotation reference"/>
    <w:basedOn w:val="DefaultParagraphFont"/>
    <w:uiPriority w:val="99"/>
    <w:semiHidden/>
    <w:unhideWhenUsed/>
    <w:rsid w:val="00C05087"/>
    <w:rPr>
      <w:sz w:val="16"/>
      <w:szCs w:val="16"/>
    </w:rPr>
  </w:style>
  <w:style w:type="paragraph" w:styleId="CommentText">
    <w:name w:val="annotation text"/>
    <w:basedOn w:val="Normal"/>
    <w:link w:val="CommentTextChar"/>
    <w:uiPriority w:val="99"/>
    <w:unhideWhenUsed/>
    <w:rsid w:val="00C05087"/>
    <w:pPr>
      <w:spacing w:line="240" w:lineRule="auto"/>
    </w:pPr>
    <w:rPr>
      <w:sz w:val="20"/>
      <w:szCs w:val="20"/>
    </w:rPr>
  </w:style>
  <w:style w:type="character" w:customStyle="1" w:styleId="CommentTextChar">
    <w:name w:val="Comment Text Char"/>
    <w:basedOn w:val="DefaultParagraphFont"/>
    <w:link w:val="CommentText"/>
    <w:uiPriority w:val="99"/>
    <w:rsid w:val="00C05087"/>
    <w:rPr>
      <w:sz w:val="20"/>
      <w:szCs w:val="20"/>
    </w:rPr>
  </w:style>
  <w:style w:type="paragraph" w:styleId="CommentSubject">
    <w:name w:val="annotation subject"/>
    <w:basedOn w:val="CommentText"/>
    <w:next w:val="CommentText"/>
    <w:link w:val="CommentSubjectChar"/>
    <w:uiPriority w:val="99"/>
    <w:semiHidden/>
    <w:unhideWhenUsed/>
    <w:rsid w:val="00C05087"/>
    <w:rPr>
      <w:b/>
      <w:bCs/>
    </w:rPr>
  </w:style>
  <w:style w:type="character" w:customStyle="1" w:styleId="CommentSubjectChar">
    <w:name w:val="Comment Subject Char"/>
    <w:basedOn w:val="CommentTextChar"/>
    <w:link w:val="CommentSubject"/>
    <w:uiPriority w:val="99"/>
    <w:semiHidden/>
    <w:rsid w:val="00C05087"/>
    <w:rPr>
      <w:b/>
      <w:bCs/>
      <w:sz w:val="20"/>
      <w:szCs w:val="2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4F6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landurbplan.2015.02.02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07/978-3-030-14745-7_18" TargetMode="External"/><Relationship Id="rId12" Type="http://schemas.openxmlformats.org/officeDocument/2006/relationships/hyperlink" Target="https://doi.org/10.1016/j.compenvurbsys.2015.05.0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ce.wp.st-andrews.ac.uk/" TargetMode="External"/><Relationship Id="rId11" Type="http://schemas.openxmlformats.org/officeDocument/2006/relationships/hyperlink" Target="https://doi.org/10.3390/land11081324" TargetMode="External"/><Relationship Id="rId5" Type="http://schemas.openxmlformats.org/officeDocument/2006/relationships/hyperlink" Target="https://begin.wp.st-andrews.ac.uk/" TargetMode="External"/><Relationship Id="rId10" Type="http://schemas.openxmlformats.org/officeDocument/2006/relationships/hyperlink" Target="https://doi.org/10.2902/1725-0463.2018.13.art18" TargetMode="External"/><Relationship Id="rId4" Type="http://schemas.openxmlformats.org/officeDocument/2006/relationships/webSettings" Target="webSettings.xml"/><Relationship Id="rId9" Type="http://schemas.openxmlformats.org/officeDocument/2006/relationships/hyperlink" Target="https://doi.org/10.3389/fmars.2017.0029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Stojanovic</dc:creator>
  <cp:keywords/>
  <dc:description/>
  <cp:lastModifiedBy>Timothy Stojanovic</cp:lastModifiedBy>
  <cp:revision>44</cp:revision>
  <cp:lastPrinted>2025-12-08T08:05:00Z</cp:lastPrinted>
  <dcterms:created xsi:type="dcterms:W3CDTF">2025-12-08T07:17:00Z</dcterms:created>
  <dcterms:modified xsi:type="dcterms:W3CDTF">2025-12-17T17:20:00Z</dcterms:modified>
</cp:coreProperties>
</file>